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4E557" w14:textId="3C68973C" w:rsidR="00A07E82" w:rsidRDefault="00A07E82" w:rsidP="00A07E82"/>
    <w:p w14:paraId="7C7CAB4B" w14:textId="4CD53041" w:rsidR="002C6DDB" w:rsidRPr="003E7EB1" w:rsidRDefault="002C6DDB" w:rsidP="002C6DDB">
      <w:pPr>
        <w:pStyle w:val="CRCoverPage"/>
        <w:tabs>
          <w:tab w:val="right" w:pos="9639"/>
        </w:tabs>
        <w:spacing w:after="0"/>
        <w:rPr>
          <w:rFonts w:eastAsia="SimSun" w:cs="Arial" w:hint="eastAsia"/>
          <w:b/>
          <w:sz w:val="22"/>
          <w:szCs w:val="24"/>
          <w:lang w:val="en-US"/>
        </w:rPr>
      </w:pPr>
      <w:bookmarkStart w:id="0" w:name="_Toc193024528"/>
      <w:bookmarkStart w:id="1" w:name="OLE_LINK4"/>
      <w:r w:rsidRPr="003E7EB1">
        <w:rPr>
          <w:rFonts w:eastAsia="SimSun" w:cs="Arial"/>
          <w:b/>
          <w:sz w:val="22"/>
          <w:szCs w:val="24"/>
          <w:lang w:val="en-US"/>
        </w:rPr>
        <w:t>3GPP TSG-</w:t>
      </w:r>
      <w:r w:rsidRPr="003E7EB1">
        <w:rPr>
          <w:rFonts w:eastAsia="SimSun" w:cs="Arial" w:hint="eastAsia"/>
          <w:b/>
          <w:sz w:val="22"/>
          <w:szCs w:val="24"/>
          <w:lang w:val="en-US"/>
        </w:rPr>
        <w:t>RAN WG2</w:t>
      </w:r>
      <w:r>
        <w:rPr>
          <w:rFonts w:eastAsia="SimSun" w:cs="Arial"/>
          <w:b/>
          <w:sz w:val="22"/>
          <w:szCs w:val="24"/>
          <w:lang w:val="en-US"/>
        </w:rPr>
        <w:t xml:space="preserve"> Meeting#110-e</w:t>
      </w:r>
      <w:r>
        <w:rPr>
          <w:rFonts w:eastAsia="SimSun" w:cs="Arial"/>
          <w:b/>
          <w:sz w:val="22"/>
          <w:szCs w:val="24"/>
          <w:lang w:val="en-US"/>
        </w:rPr>
        <w:tab/>
        <w:t>R2-</w:t>
      </w:r>
      <w:r w:rsidRPr="002C6DDB">
        <w:rPr>
          <w:rFonts w:eastAsia="SimSun" w:cs="Arial"/>
          <w:b/>
          <w:sz w:val="22"/>
          <w:szCs w:val="24"/>
          <w:lang w:val="en-US"/>
        </w:rPr>
        <w:t>2006025</w:t>
      </w:r>
    </w:p>
    <w:p w14:paraId="55C45567" w14:textId="29A91ED5" w:rsidR="002C6DDB" w:rsidRPr="000135E6" w:rsidRDefault="002C6DDB" w:rsidP="002C6DDB">
      <w:pPr>
        <w:tabs>
          <w:tab w:val="right" w:pos="9641"/>
        </w:tabs>
        <w:rPr>
          <w:rFonts w:ascii="Arial" w:hAnsi="Arial" w:cs="Arial" w:hint="eastAsia"/>
          <w:b/>
          <w:szCs w:val="24"/>
        </w:rPr>
      </w:pPr>
      <w:r>
        <w:rPr>
          <w:rFonts w:ascii="Arial" w:hAnsi="Arial" w:cs="Arial"/>
          <w:b/>
          <w:szCs w:val="24"/>
        </w:rPr>
        <w:t>Electronic</w:t>
      </w:r>
      <w:r w:rsidRPr="001B658F">
        <w:rPr>
          <w:rFonts w:ascii="Arial" w:hAnsi="Arial" w:cs="Arial"/>
          <w:b/>
          <w:szCs w:val="24"/>
        </w:rPr>
        <w:t xml:space="preserve">, </w:t>
      </w:r>
      <w:r>
        <w:rPr>
          <w:rFonts w:ascii="Arial" w:hAnsi="Arial" w:cs="Arial"/>
          <w:b/>
          <w:szCs w:val="24"/>
        </w:rPr>
        <w:t>1 - 12 June 2020</w:t>
      </w:r>
      <w:r>
        <w:rPr>
          <w:rFonts w:ascii="Arial" w:hAnsi="Arial" w:cs="Arial"/>
          <w:b/>
          <w:szCs w:val="24"/>
        </w:rPr>
        <w:tab/>
      </w:r>
    </w:p>
    <w:bookmarkEnd w:id="1"/>
    <w:p w14:paraId="680D45AE" w14:textId="77777777" w:rsidR="002C6DDB" w:rsidRPr="008013CD" w:rsidRDefault="002C6DDB" w:rsidP="002C6DDB">
      <w:pPr>
        <w:pStyle w:val="Footer"/>
        <w:jc w:val="both"/>
        <w:rPr>
          <w:rFonts w:eastAsia="SimSun" w:cs="Arial"/>
          <w:b w:val="0"/>
          <w:i w:val="0"/>
          <w:noProof w:val="0"/>
          <w:sz w:val="24"/>
          <w:lang w:val="en-US" w:eastAsia="zh-CN"/>
        </w:rPr>
      </w:pPr>
    </w:p>
    <w:p w14:paraId="60370850" w14:textId="77777777" w:rsidR="002C6DDB" w:rsidRPr="0006549A" w:rsidRDefault="002C6DDB" w:rsidP="002C6DDB">
      <w:pPr>
        <w:spacing w:after="120"/>
        <w:jc w:val="both"/>
        <w:rPr>
          <w:rFonts w:ascii="Arial" w:hAnsi="Arial" w:cs="Arial"/>
          <w:b/>
          <w:sz w:val="24"/>
          <w:lang w:eastAsia="zh-CN"/>
        </w:rPr>
      </w:pPr>
      <w:r w:rsidRPr="007A0189">
        <w:rPr>
          <w:rFonts w:ascii="Arial" w:hAnsi="Arial" w:cs="Arial"/>
          <w:b/>
          <w:sz w:val="24"/>
        </w:rPr>
        <w:t>Agenda Item:</w:t>
      </w:r>
      <w:r w:rsidRPr="007A0189">
        <w:rPr>
          <w:rFonts w:ascii="Arial" w:hAnsi="Arial" w:cs="Arial"/>
          <w:b/>
          <w:sz w:val="24"/>
        </w:rPr>
        <w:tab/>
      </w:r>
      <w:bookmarkStart w:id="2" w:name="Source"/>
      <w:bookmarkEnd w:id="2"/>
      <w:r w:rsidRPr="007A0189">
        <w:rPr>
          <w:rFonts w:ascii="Arial" w:hAnsi="Arial" w:cs="Arial"/>
          <w:b/>
          <w:sz w:val="24"/>
          <w:lang w:eastAsia="zh-CN"/>
        </w:rPr>
        <w:tab/>
      </w:r>
      <w:r>
        <w:rPr>
          <w:rFonts w:ascii="Arial" w:hAnsi="Arial" w:cs="Arial"/>
          <w:b/>
          <w:sz w:val="24"/>
          <w:lang w:eastAsia="zh-CN"/>
        </w:rPr>
        <w:t>6.0.3</w:t>
      </w:r>
    </w:p>
    <w:p w14:paraId="3A46D8AD" w14:textId="32F6E24B" w:rsidR="002C6DDB" w:rsidRPr="007A0189" w:rsidRDefault="002C6DDB" w:rsidP="002C6DDB">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r>
      <w:r>
        <w:rPr>
          <w:rFonts w:ascii="Arial" w:hAnsi="Arial" w:cs="Arial"/>
          <w:b/>
          <w:sz w:val="24"/>
        </w:rPr>
        <w:t>Ericsson (Rapporteur)</w:t>
      </w:r>
    </w:p>
    <w:p w14:paraId="5922A735" w14:textId="77777777" w:rsidR="002C6DDB" w:rsidRDefault="002C6DDB" w:rsidP="002C6DDB">
      <w:pPr>
        <w:tabs>
          <w:tab w:val="left" w:pos="1985"/>
        </w:tabs>
        <w:spacing w:after="120"/>
        <w:ind w:left="1976" w:hangingChars="820" w:hanging="1976"/>
        <w:rPr>
          <w:rFonts w:ascii="Arial" w:hAnsi="Arial" w:cs="Arial"/>
          <w:b/>
          <w:sz w:val="24"/>
        </w:rPr>
      </w:pPr>
      <w:r w:rsidRPr="007A0189">
        <w:rPr>
          <w:rFonts w:ascii="Arial" w:hAnsi="Arial" w:cs="Arial"/>
          <w:b/>
          <w:sz w:val="24"/>
        </w:rPr>
        <w:t xml:space="preserve">Title: </w:t>
      </w:r>
      <w:r w:rsidRPr="007A0189">
        <w:rPr>
          <w:rFonts w:ascii="Arial" w:hAnsi="Arial" w:cs="Arial"/>
          <w:b/>
          <w:sz w:val="24"/>
        </w:rPr>
        <w:tab/>
      </w:r>
      <w:r w:rsidRPr="002C6DDB">
        <w:rPr>
          <w:rFonts w:ascii="Arial" w:hAnsi="Arial" w:cs="Arial"/>
          <w:b/>
          <w:sz w:val="24"/>
        </w:rPr>
        <w:t>Flagged RILs, 38331 Rel-16 Ph2</w:t>
      </w:r>
    </w:p>
    <w:p w14:paraId="724845A1" w14:textId="7734EBFB" w:rsidR="002C6DDB" w:rsidRDefault="002C6DDB" w:rsidP="002C6DDB">
      <w:pPr>
        <w:tabs>
          <w:tab w:val="left" w:pos="1985"/>
        </w:tabs>
        <w:spacing w:after="120"/>
        <w:ind w:left="1976" w:hangingChars="820" w:hanging="1976"/>
        <w:rPr>
          <w:rFonts w:ascii="Arial" w:hAnsi="Arial" w:cs="Arial" w:hint="eastAsia"/>
          <w:b/>
          <w:sz w:val="24"/>
          <w:lang w:eastAsia="zh-CN"/>
        </w:rPr>
      </w:pPr>
      <w:r w:rsidRPr="007A0189">
        <w:rPr>
          <w:rFonts w:ascii="Arial" w:hAnsi="Arial" w:cs="Arial"/>
          <w:b/>
          <w:sz w:val="24"/>
        </w:rPr>
        <w:t>Document for:</w:t>
      </w:r>
      <w:r w:rsidRPr="007A0189">
        <w:rPr>
          <w:rFonts w:ascii="Arial" w:hAnsi="Arial" w:cs="Arial"/>
          <w:b/>
          <w:sz w:val="24"/>
        </w:rPr>
        <w:tab/>
      </w:r>
      <w:bookmarkStart w:id="3" w:name="DocumentFor"/>
      <w:bookmarkEnd w:id="3"/>
      <w:r>
        <w:rPr>
          <w:rFonts w:ascii="Arial" w:hAnsi="Arial" w:cs="Arial"/>
          <w:b/>
          <w:sz w:val="24"/>
        </w:rPr>
        <w:t>Information</w:t>
      </w:r>
    </w:p>
    <w:p w14:paraId="0B66813A" w14:textId="77777777" w:rsidR="002C6DDB" w:rsidRDefault="002C6DDB" w:rsidP="00A07E82">
      <w:bookmarkStart w:id="4" w:name="_GoBack"/>
      <w:bookmarkEnd w:id="0"/>
      <w:bookmarkEnd w:id="4"/>
    </w:p>
    <w:p w14:paraId="137EA274" w14:textId="59A433DD" w:rsidR="00A07E82" w:rsidRDefault="002C6DDB" w:rsidP="00A07E82">
      <w:r>
        <w:t>This document lists the RILs flagged during 38331 Rel-16 ASN.1 review prior to RAN2#110-e meeting.</w:t>
      </w:r>
    </w:p>
    <w:p w14:paraId="7681BAA0" w14:textId="6323BC8A" w:rsidR="002C6DDB" w:rsidRDefault="002C6DDB" w:rsidP="00A07E82">
      <w:r>
        <w:t xml:space="preserve">It is expected that flagged RILs are handled/resolved during relevant ASN.1 </w:t>
      </w:r>
      <w:proofErr w:type="gramStart"/>
      <w:r>
        <w:t>common  or</w:t>
      </w:r>
      <w:proofErr w:type="gramEnd"/>
      <w:r>
        <w:t xml:space="preserve"> WI session.</w:t>
      </w:r>
    </w:p>
    <w:p w14:paraId="1964CD79" w14:textId="4B2B6510" w:rsidR="00A07E82" w:rsidRDefault="00A07E82" w:rsidP="00A07E82"/>
    <w:tbl>
      <w:tblPr>
        <w:tblW w:w="9535" w:type="dxa"/>
        <w:tblLook w:val="04A0" w:firstRow="1" w:lastRow="0" w:firstColumn="1" w:lastColumn="0" w:noHBand="0" w:noVBand="1"/>
      </w:tblPr>
      <w:tblGrid>
        <w:gridCol w:w="739"/>
        <w:gridCol w:w="975"/>
        <w:gridCol w:w="671"/>
        <w:gridCol w:w="1360"/>
        <w:gridCol w:w="1197"/>
        <w:gridCol w:w="4593"/>
      </w:tblGrid>
      <w:tr w:rsidR="00A07E82" w:rsidRPr="00A07E82" w14:paraId="3E35F162" w14:textId="77777777" w:rsidTr="00A07E82">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auto"/>
            <w:noWrap/>
          </w:tcPr>
          <w:p w14:paraId="7195ECE0" w14:textId="376461E5" w:rsidR="00A07E82" w:rsidRPr="00A07E82" w:rsidRDefault="00A07E82" w:rsidP="00A07E82">
            <w:pPr>
              <w:spacing w:after="0" w:line="240" w:lineRule="auto"/>
              <w:rPr>
                <w:rFonts w:ascii="Calibri" w:eastAsia="Times New Roman" w:hAnsi="Calibri" w:cs="Calibri"/>
                <w:b/>
                <w:bCs/>
                <w:color w:val="000000"/>
                <w:lang w:eastAsia="en-GB"/>
              </w:rPr>
            </w:pPr>
            <w:r w:rsidRPr="00A07E82">
              <w:rPr>
                <w:rFonts w:ascii="Calibri" w:eastAsia="Times New Roman" w:hAnsi="Calibri" w:cs="Calibri"/>
                <w:b/>
                <w:bCs/>
                <w:color w:val="000000"/>
                <w:lang w:eastAsia="en-GB"/>
              </w:rPr>
              <w:t>RIL</w:t>
            </w:r>
          </w:p>
        </w:tc>
        <w:tc>
          <w:tcPr>
            <w:tcW w:w="975" w:type="dxa"/>
            <w:tcBorders>
              <w:top w:val="single" w:sz="4" w:space="0" w:color="auto"/>
              <w:left w:val="nil"/>
              <w:bottom w:val="single" w:sz="4" w:space="0" w:color="auto"/>
              <w:right w:val="single" w:sz="4" w:space="0" w:color="auto"/>
            </w:tcBorders>
            <w:shd w:val="clear" w:color="auto" w:fill="auto"/>
            <w:noWrap/>
          </w:tcPr>
          <w:p w14:paraId="1FAD4B2F" w14:textId="74AC44D1" w:rsidR="00A07E82" w:rsidRPr="00A07E82" w:rsidRDefault="00A07E82" w:rsidP="00A07E82">
            <w:pPr>
              <w:spacing w:after="0" w:line="240" w:lineRule="auto"/>
              <w:jc w:val="center"/>
              <w:rPr>
                <w:rFonts w:ascii="Calibri" w:eastAsia="Times New Roman" w:hAnsi="Calibri" w:cs="Calibri"/>
                <w:b/>
                <w:bCs/>
                <w:color w:val="000000"/>
                <w:lang w:eastAsia="en-GB"/>
              </w:rPr>
            </w:pPr>
            <w:r w:rsidRPr="00A07E82">
              <w:rPr>
                <w:rFonts w:ascii="Calibri" w:eastAsia="Times New Roman" w:hAnsi="Calibri" w:cs="Calibri"/>
                <w:b/>
                <w:bCs/>
                <w:color w:val="000000"/>
                <w:lang w:eastAsia="en-GB"/>
              </w:rPr>
              <w:t>WI</w:t>
            </w:r>
          </w:p>
        </w:tc>
        <w:tc>
          <w:tcPr>
            <w:tcW w:w="671" w:type="dxa"/>
            <w:tcBorders>
              <w:top w:val="single" w:sz="4" w:space="0" w:color="auto"/>
              <w:left w:val="nil"/>
              <w:bottom w:val="single" w:sz="4" w:space="0" w:color="auto"/>
              <w:right w:val="single" w:sz="4" w:space="0" w:color="auto"/>
            </w:tcBorders>
            <w:shd w:val="clear" w:color="auto" w:fill="auto"/>
            <w:noWrap/>
          </w:tcPr>
          <w:p w14:paraId="5629FCA6" w14:textId="42E10A92" w:rsidR="00A07E82" w:rsidRPr="00A07E82" w:rsidRDefault="00A07E82" w:rsidP="00A07E82">
            <w:pPr>
              <w:spacing w:after="0" w:line="240" w:lineRule="auto"/>
              <w:jc w:val="center"/>
              <w:rPr>
                <w:rFonts w:ascii="Calibri" w:eastAsia="Times New Roman" w:hAnsi="Calibri" w:cs="Calibri"/>
                <w:b/>
                <w:bCs/>
                <w:color w:val="000000"/>
                <w:lang w:eastAsia="en-GB"/>
              </w:rPr>
            </w:pPr>
            <w:r w:rsidRPr="00A07E82">
              <w:rPr>
                <w:rFonts w:ascii="Calibri" w:eastAsia="Times New Roman" w:hAnsi="Calibri" w:cs="Calibri"/>
                <w:b/>
                <w:bCs/>
                <w:color w:val="000000"/>
                <w:lang w:eastAsia="en-GB"/>
              </w:rPr>
              <w:t>Class</w:t>
            </w:r>
          </w:p>
        </w:tc>
        <w:tc>
          <w:tcPr>
            <w:tcW w:w="1360" w:type="dxa"/>
            <w:tcBorders>
              <w:top w:val="single" w:sz="4" w:space="0" w:color="auto"/>
              <w:left w:val="nil"/>
              <w:bottom w:val="single" w:sz="4" w:space="0" w:color="auto"/>
              <w:right w:val="single" w:sz="4" w:space="0" w:color="auto"/>
            </w:tcBorders>
            <w:shd w:val="clear" w:color="auto" w:fill="auto"/>
            <w:noWrap/>
          </w:tcPr>
          <w:p w14:paraId="23CE5D73" w14:textId="4A75AE4D" w:rsidR="00A07E82" w:rsidRPr="00A07E82" w:rsidRDefault="00A07E82" w:rsidP="00A07E82">
            <w:pPr>
              <w:spacing w:after="0" w:line="240" w:lineRule="auto"/>
              <w:jc w:val="center"/>
              <w:rPr>
                <w:rFonts w:ascii="Calibri" w:eastAsia="Times New Roman" w:hAnsi="Calibri" w:cs="Calibri"/>
                <w:b/>
                <w:bCs/>
                <w:color w:val="000000"/>
                <w:lang w:eastAsia="en-GB"/>
              </w:rPr>
            </w:pPr>
            <w:r w:rsidRPr="00A07E82">
              <w:rPr>
                <w:rFonts w:ascii="Calibri" w:eastAsia="Times New Roman" w:hAnsi="Calibri" w:cs="Calibri"/>
                <w:b/>
                <w:bCs/>
                <w:color w:val="000000"/>
                <w:lang w:eastAsia="en-GB"/>
              </w:rPr>
              <w:t>Status</w:t>
            </w:r>
          </w:p>
        </w:tc>
        <w:tc>
          <w:tcPr>
            <w:tcW w:w="1197" w:type="dxa"/>
            <w:tcBorders>
              <w:top w:val="single" w:sz="4" w:space="0" w:color="auto"/>
              <w:left w:val="nil"/>
              <w:bottom w:val="single" w:sz="4" w:space="0" w:color="auto"/>
              <w:right w:val="single" w:sz="4" w:space="0" w:color="auto"/>
            </w:tcBorders>
            <w:shd w:val="clear" w:color="auto" w:fill="auto"/>
          </w:tcPr>
          <w:p w14:paraId="42035374" w14:textId="77777777" w:rsidR="00A07E82" w:rsidRPr="00A07E82" w:rsidRDefault="00A07E82" w:rsidP="00A07E82">
            <w:pPr>
              <w:spacing w:after="0" w:line="240" w:lineRule="auto"/>
              <w:jc w:val="center"/>
              <w:rPr>
                <w:rFonts w:ascii="Calibri" w:eastAsia="Times New Roman" w:hAnsi="Calibri" w:cs="Calibri"/>
                <w:b/>
                <w:bCs/>
                <w:color w:val="000000"/>
                <w:lang w:eastAsia="en-GB"/>
              </w:rPr>
            </w:pPr>
            <w:r w:rsidRPr="00A07E82">
              <w:rPr>
                <w:rFonts w:ascii="Calibri" w:eastAsia="Times New Roman" w:hAnsi="Calibri" w:cs="Calibri"/>
                <w:b/>
                <w:bCs/>
                <w:color w:val="000000"/>
                <w:lang w:eastAsia="en-GB"/>
              </w:rPr>
              <w:t>Flagging</w:t>
            </w:r>
          </w:p>
          <w:p w14:paraId="3EE3C2E5" w14:textId="35D40E32" w:rsidR="00A07E82" w:rsidRPr="00A07E82" w:rsidRDefault="00A07E82" w:rsidP="00A07E82">
            <w:pPr>
              <w:spacing w:after="0" w:line="240" w:lineRule="auto"/>
              <w:jc w:val="center"/>
              <w:rPr>
                <w:rFonts w:ascii="Calibri" w:eastAsia="Times New Roman" w:hAnsi="Calibri" w:cs="Calibri"/>
                <w:b/>
                <w:bCs/>
                <w:color w:val="000000"/>
                <w:lang w:eastAsia="en-GB"/>
              </w:rPr>
            </w:pPr>
            <w:r w:rsidRPr="00A07E82">
              <w:rPr>
                <w:rFonts w:ascii="Calibri" w:eastAsia="Times New Roman" w:hAnsi="Calibri" w:cs="Calibri"/>
                <w:b/>
                <w:bCs/>
                <w:color w:val="000000"/>
                <w:lang w:eastAsia="en-GB"/>
              </w:rPr>
              <w:t>Company</w:t>
            </w:r>
          </w:p>
        </w:tc>
        <w:tc>
          <w:tcPr>
            <w:tcW w:w="4593" w:type="dxa"/>
            <w:tcBorders>
              <w:top w:val="single" w:sz="4" w:space="0" w:color="auto"/>
              <w:left w:val="nil"/>
              <w:bottom w:val="single" w:sz="4" w:space="0" w:color="auto"/>
              <w:right w:val="single" w:sz="4" w:space="0" w:color="auto"/>
            </w:tcBorders>
            <w:shd w:val="clear" w:color="auto" w:fill="auto"/>
          </w:tcPr>
          <w:p w14:paraId="42B894EC" w14:textId="11377724" w:rsidR="00A07E82" w:rsidRPr="00A07E82" w:rsidRDefault="00A07E82" w:rsidP="00A07E82">
            <w:pPr>
              <w:spacing w:after="0" w:line="240" w:lineRule="auto"/>
              <w:rPr>
                <w:rFonts w:ascii="Calibri" w:eastAsia="Times New Roman" w:hAnsi="Calibri" w:cs="Calibri"/>
                <w:b/>
                <w:bCs/>
                <w:color w:val="1F497D"/>
                <w:lang w:eastAsia="zh-CN"/>
              </w:rPr>
            </w:pPr>
            <w:r w:rsidRPr="00A07E82">
              <w:rPr>
                <w:rFonts w:ascii="Calibri" w:eastAsia="Times New Roman" w:hAnsi="Calibri" w:cs="Calibri"/>
                <w:b/>
                <w:bCs/>
                <w:color w:val="1F497D"/>
                <w:lang w:eastAsia="zh-CN"/>
              </w:rPr>
              <w:t>Flagging Comment</w:t>
            </w:r>
          </w:p>
        </w:tc>
      </w:tr>
      <w:tr w:rsidR="00A07E82" w:rsidRPr="00A07E82" w14:paraId="77BE5022" w14:textId="77777777" w:rsidTr="00A07E82">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auto"/>
            <w:noWrap/>
            <w:hideMark/>
          </w:tcPr>
          <w:p w14:paraId="695656F2"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t>C120</w:t>
            </w:r>
          </w:p>
        </w:tc>
        <w:tc>
          <w:tcPr>
            <w:tcW w:w="975" w:type="dxa"/>
            <w:tcBorders>
              <w:top w:val="single" w:sz="4" w:space="0" w:color="auto"/>
              <w:left w:val="nil"/>
              <w:bottom w:val="single" w:sz="4" w:space="0" w:color="auto"/>
              <w:right w:val="single" w:sz="4" w:space="0" w:color="auto"/>
            </w:tcBorders>
            <w:shd w:val="clear" w:color="auto" w:fill="auto"/>
            <w:noWrap/>
            <w:hideMark/>
          </w:tcPr>
          <w:p w14:paraId="30527AA0"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DCCA</w:t>
            </w:r>
          </w:p>
        </w:tc>
        <w:tc>
          <w:tcPr>
            <w:tcW w:w="671" w:type="dxa"/>
            <w:tcBorders>
              <w:top w:val="single" w:sz="4" w:space="0" w:color="auto"/>
              <w:left w:val="nil"/>
              <w:bottom w:val="single" w:sz="4" w:space="0" w:color="auto"/>
              <w:right w:val="single" w:sz="4" w:space="0" w:color="auto"/>
            </w:tcBorders>
            <w:shd w:val="clear" w:color="auto" w:fill="auto"/>
            <w:noWrap/>
            <w:hideMark/>
          </w:tcPr>
          <w:p w14:paraId="67371780"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3</w:t>
            </w:r>
          </w:p>
        </w:tc>
        <w:tc>
          <w:tcPr>
            <w:tcW w:w="1360" w:type="dxa"/>
            <w:tcBorders>
              <w:top w:val="single" w:sz="4" w:space="0" w:color="auto"/>
              <w:left w:val="nil"/>
              <w:bottom w:val="single" w:sz="4" w:space="0" w:color="auto"/>
              <w:right w:val="single" w:sz="4" w:space="0" w:color="auto"/>
            </w:tcBorders>
            <w:shd w:val="clear" w:color="auto" w:fill="auto"/>
            <w:noWrap/>
            <w:hideMark/>
          </w:tcPr>
          <w:p w14:paraId="478D7F5D"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PropAgree2</w:t>
            </w:r>
          </w:p>
        </w:tc>
        <w:tc>
          <w:tcPr>
            <w:tcW w:w="1197" w:type="dxa"/>
            <w:tcBorders>
              <w:top w:val="single" w:sz="4" w:space="0" w:color="auto"/>
              <w:left w:val="nil"/>
              <w:bottom w:val="single" w:sz="4" w:space="0" w:color="auto"/>
              <w:right w:val="single" w:sz="4" w:space="0" w:color="auto"/>
            </w:tcBorders>
            <w:shd w:val="clear" w:color="auto" w:fill="auto"/>
            <w:hideMark/>
          </w:tcPr>
          <w:p w14:paraId="1A5BE1E9"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Huawei</w:t>
            </w:r>
          </w:p>
        </w:tc>
        <w:tc>
          <w:tcPr>
            <w:tcW w:w="4593" w:type="dxa"/>
            <w:tcBorders>
              <w:top w:val="single" w:sz="4" w:space="0" w:color="auto"/>
              <w:left w:val="nil"/>
              <w:bottom w:val="single" w:sz="4" w:space="0" w:color="auto"/>
              <w:right w:val="single" w:sz="4" w:space="0" w:color="auto"/>
            </w:tcBorders>
            <w:shd w:val="clear" w:color="auto" w:fill="auto"/>
            <w:hideMark/>
          </w:tcPr>
          <w:p w14:paraId="51F67A4A" w14:textId="77777777" w:rsidR="00A07E82" w:rsidRPr="00A07E82" w:rsidRDefault="00A07E82" w:rsidP="00A07E82">
            <w:pPr>
              <w:spacing w:after="0" w:line="240" w:lineRule="auto"/>
              <w:rPr>
                <w:rFonts w:ascii="Calibri" w:eastAsia="Times New Roman" w:hAnsi="Calibri" w:cs="Calibri"/>
                <w:color w:val="1F497D"/>
                <w:lang w:eastAsia="en-GB"/>
              </w:rPr>
            </w:pPr>
            <w:r w:rsidRPr="00A07E82">
              <w:rPr>
                <w:rFonts w:ascii="Calibri" w:eastAsia="Times New Roman" w:hAnsi="Calibri" w:cs="Calibri"/>
                <w:color w:val="1F497D"/>
                <w:lang w:eastAsia="zh-CN"/>
              </w:rPr>
              <w:t xml:space="preserve">the proposal goes in the right </w:t>
            </w:r>
            <w:proofErr w:type="gramStart"/>
            <w:r w:rsidRPr="00A07E82">
              <w:rPr>
                <w:rFonts w:ascii="Calibri" w:eastAsia="Times New Roman" w:hAnsi="Calibri" w:cs="Calibri"/>
                <w:color w:val="1F497D"/>
                <w:lang w:eastAsia="zh-CN"/>
              </w:rPr>
              <w:t>direction</w:t>
            </w:r>
            <w:proofErr w:type="gramEnd"/>
            <w:r w:rsidRPr="00A07E82">
              <w:rPr>
                <w:rFonts w:ascii="Calibri" w:eastAsia="Times New Roman" w:hAnsi="Calibri" w:cs="Calibri"/>
                <w:color w:val="1F497D"/>
                <w:lang w:eastAsia="zh-CN"/>
              </w:rPr>
              <w:t xml:space="preserve"> but we think it is not sufficient. We have submitted R2-2005245 to address this more completely.</w:t>
            </w:r>
          </w:p>
        </w:tc>
      </w:tr>
      <w:tr w:rsidR="00A07E82" w:rsidRPr="00A07E82" w14:paraId="24FEE9BA" w14:textId="77777777" w:rsidTr="00A07E82">
        <w:trPr>
          <w:trHeight w:val="5400"/>
        </w:trPr>
        <w:tc>
          <w:tcPr>
            <w:tcW w:w="739" w:type="dxa"/>
            <w:tcBorders>
              <w:top w:val="nil"/>
              <w:left w:val="single" w:sz="4" w:space="0" w:color="auto"/>
              <w:bottom w:val="single" w:sz="4" w:space="0" w:color="auto"/>
              <w:right w:val="single" w:sz="4" w:space="0" w:color="auto"/>
            </w:tcBorders>
            <w:shd w:val="clear" w:color="auto" w:fill="auto"/>
            <w:noWrap/>
            <w:hideMark/>
          </w:tcPr>
          <w:p w14:paraId="5B150DBA"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t>C121</w:t>
            </w:r>
          </w:p>
        </w:tc>
        <w:tc>
          <w:tcPr>
            <w:tcW w:w="975" w:type="dxa"/>
            <w:tcBorders>
              <w:top w:val="nil"/>
              <w:left w:val="nil"/>
              <w:bottom w:val="single" w:sz="4" w:space="0" w:color="auto"/>
              <w:right w:val="single" w:sz="4" w:space="0" w:color="auto"/>
            </w:tcBorders>
            <w:shd w:val="clear" w:color="auto" w:fill="auto"/>
            <w:noWrap/>
            <w:hideMark/>
          </w:tcPr>
          <w:p w14:paraId="51BC8FA1"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DCCA</w:t>
            </w:r>
          </w:p>
        </w:tc>
        <w:tc>
          <w:tcPr>
            <w:tcW w:w="671" w:type="dxa"/>
            <w:tcBorders>
              <w:top w:val="nil"/>
              <w:left w:val="nil"/>
              <w:bottom w:val="single" w:sz="4" w:space="0" w:color="auto"/>
              <w:right w:val="single" w:sz="4" w:space="0" w:color="auto"/>
            </w:tcBorders>
            <w:shd w:val="clear" w:color="auto" w:fill="auto"/>
            <w:noWrap/>
            <w:hideMark/>
          </w:tcPr>
          <w:p w14:paraId="49DF0561"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3</w:t>
            </w:r>
          </w:p>
        </w:tc>
        <w:tc>
          <w:tcPr>
            <w:tcW w:w="1360" w:type="dxa"/>
            <w:tcBorders>
              <w:top w:val="nil"/>
              <w:left w:val="nil"/>
              <w:bottom w:val="single" w:sz="4" w:space="0" w:color="auto"/>
              <w:right w:val="single" w:sz="4" w:space="0" w:color="auto"/>
            </w:tcBorders>
            <w:shd w:val="clear" w:color="auto" w:fill="auto"/>
            <w:noWrap/>
            <w:hideMark/>
          </w:tcPr>
          <w:p w14:paraId="0BDE37AD"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PropAgree2</w:t>
            </w:r>
          </w:p>
        </w:tc>
        <w:tc>
          <w:tcPr>
            <w:tcW w:w="1197" w:type="dxa"/>
            <w:tcBorders>
              <w:top w:val="nil"/>
              <w:left w:val="nil"/>
              <w:bottom w:val="single" w:sz="4" w:space="0" w:color="auto"/>
              <w:right w:val="single" w:sz="4" w:space="0" w:color="auto"/>
            </w:tcBorders>
            <w:shd w:val="clear" w:color="auto" w:fill="auto"/>
            <w:hideMark/>
          </w:tcPr>
          <w:p w14:paraId="670AAEBA"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Huawei</w:t>
            </w:r>
          </w:p>
        </w:tc>
        <w:tc>
          <w:tcPr>
            <w:tcW w:w="4593" w:type="dxa"/>
            <w:tcBorders>
              <w:top w:val="nil"/>
              <w:left w:val="nil"/>
              <w:bottom w:val="single" w:sz="4" w:space="0" w:color="auto"/>
              <w:right w:val="single" w:sz="4" w:space="0" w:color="auto"/>
            </w:tcBorders>
            <w:shd w:val="clear" w:color="auto" w:fill="auto"/>
            <w:hideMark/>
          </w:tcPr>
          <w:p w14:paraId="1FDE0F55"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zh-CN"/>
              </w:rPr>
              <w:t xml:space="preserve">As explained by ZTE, in case of reconfigurationWithSync, all SCells not included in </w:t>
            </w:r>
            <w:proofErr w:type="spellStart"/>
            <w:r w:rsidRPr="00A07E82">
              <w:rPr>
                <w:rFonts w:ascii="Calibri" w:eastAsia="Times New Roman" w:hAnsi="Calibri" w:cs="Calibri"/>
                <w:color w:val="000000"/>
                <w:lang w:eastAsia="zh-CN"/>
              </w:rPr>
              <w:t>SCellsToAddModList</w:t>
            </w:r>
            <w:proofErr w:type="spellEnd"/>
            <w:r w:rsidRPr="00A07E82">
              <w:rPr>
                <w:rFonts w:ascii="Calibri" w:eastAsia="Times New Roman" w:hAnsi="Calibri" w:cs="Calibri"/>
                <w:color w:val="000000"/>
                <w:lang w:eastAsia="zh-CN"/>
              </w:rPr>
              <w:t xml:space="preserve"> will be set to deactivated state according to 5.3.5.5.2. However, if we simply remove this part, then for SCells included in </w:t>
            </w:r>
            <w:proofErr w:type="spellStart"/>
            <w:r w:rsidRPr="00A07E82">
              <w:rPr>
                <w:rFonts w:ascii="Calibri" w:eastAsia="Times New Roman" w:hAnsi="Calibri" w:cs="Calibri"/>
                <w:color w:val="000000"/>
                <w:lang w:eastAsia="zh-CN"/>
              </w:rPr>
              <w:t>SCellToAddModList</w:t>
            </w:r>
            <w:proofErr w:type="spellEnd"/>
            <w:r w:rsidRPr="00A07E82">
              <w:rPr>
                <w:rFonts w:ascii="Calibri" w:eastAsia="Times New Roman" w:hAnsi="Calibri" w:cs="Calibri"/>
                <w:color w:val="000000"/>
                <w:lang w:eastAsia="zh-CN"/>
              </w:rPr>
              <w:t xml:space="preserve"> but not configured with ”</w:t>
            </w:r>
            <w:proofErr w:type="spellStart"/>
            <w:r w:rsidRPr="00A07E82">
              <w:rPr>
                <w:rFonts w:ascii="Calibri" w:eastAsia="Times New Roman" w:hAnsi="Calibri" w:cs="Calibri"/>
                <w:color w:val="000000"/>
                <w:lang w:eastAsia="zh-CN"/>
              </w:rPr>
              <w:t>sCellState</w:t>
            </w:r>
            <w:proofErr w:type="spellEnd"/>
            <w:r w:rsidRPr="00A07E82">
              <w:rPr>
                <w:rFonts w:ascii="Calibri" w:eastAsia="Times New Roman" w:hAnsi="Calibri" w:cs="Calibri"/>
                <w:color w:val="000000"/>
                <w:lang w:eastAsia="zh-CN"/>
              </w:rPr>
              <w:t>”, the state will remain unchanged (not "unknown" as in ZTE's comment), i.e. these SCells won't be deactivated.</w:t>
            </w:r>
            <w:r w:rsidRPr="00A07E82">
              <w:rPr>
                <w:rFonts w:ascii="Calibri" w:eastAsia="Times New Roman" w:hAnsi="Calibri" w:cs="Calibri"/>
                <w:color w:val="000000"/>
                <w:lang w:eastAsia="zh-CN"/>
              </w:rPr>
              <w:br/>
            </w:r>
            <w:r w:rsidRPr="00A07E82">
              <w:rPr>
                <w:rFonts w:ascii="Calibri" w:eastAsia="Times New Roman" w:hAnsi="Calibri" w:cs="Calibri"/>
                <w:color w:val="000000"/>
                <w:lang w:eastAsia="zh-CN"/>
              </w:rPr>
              <w:br/>
              <w:t>Then with this change, if a Rel-15 network modifies SCells during reconfiguration with sync, the Rel-15 UE will deactivate these SCells but not the Rel-16 UE. We don't see any reason for doing that.</w:t>
            </w:r>
            <w:r w:rsidRPr="00A07E82">
              <w:rPr>
                <w:rFonts w:ascii="Calibri" w:eastAsia="Times New Roman" w:hAnsi="Calibri" w:cs="Calibri"/>
                <w:color w:val="000000"/>
                <w:lang w:eastAsia="zh-CN"/>
              </w:rPr>
              <w:br/>
            </w:r>
            <w:r w:rsidRPr="00A07E82">
              <w:rPr>
                <w:rFonts w:ascii="Calibri" w:eastAsia="Times New Roman" w:hAnsi="Calibri" w:cs="Calibri"/>
                <w:color w:val="000000"/>
                <w:lang w:eastAsia="zh-CN"/>
              </w:rPr>
              <w:br/>
              <w:t xml:space="preserve">Still, when checking this text, we think it would be useful to capture that activation upon reception of </w:t>
            </w:r>
            <w:proofErr w:type="spellStart"/>
            <w:r w:rsidRPr="00A07E82">
              <w:rPr>
                <w:rFonts w:ascii="Calibri" w:eastAsia="Times New Roman" w:hAnsi="Calibri" w:cs="Calibri"/>
                <w:color w:val="000000"/>
                <w:lang w:eastAsia="zh-CN"/>
              </w:rPr>
              <w:t>sCellState</w:t>
            </w:r>
            <w:proofErr w:type="spellEnd"/>
            <w:r w:rsidRPr="00A07E82">
              <w:rPr>
                <w:rFonts w:ascii="Calibri" w:eastAsia="Times New Roman" w:hAnsi="Calibri" w:cs="Calibri"/>
                <w:color w:val="000000"/>
                <w:lang w:eastAsia="zh-CN"/>
              </w:rPr>
              <w:t xml:space="preserve"> is only executed if </w:t>
            </w:r>
            <w:proofErr w:type="spellStart"/>
            <w:r w:rsidRPr="00A07E82">
              <w:rPr>
                <w:rFonts w:ascii="Calibri" w:eastAsia="Times New Roman" w:hAnsi="Calibri" w:cs="Calibri"/>
                <w:color w:val="000000"/>
                <w:lang w:eastAsia="zh-CN"/>
              </w:rPr>
              <w:t>sCellToAddModList</w:t>
            </w:r>
            <w:proofErr w:type="spellEnd"/>
            <w:r w:rsidRPr="00A07E82">
              <w:rPr>
                <w:rFonts w:ascii="Calibri" w:eastAsia="Times New Roman" w:hAnsi="Calibri" w:cs="Calibri"/>
                <w:color w:val="000000"/>
                <w:lang w:eastAsia="zh-CN"/>
              </w:rPr>
              <w:t xml:space="preserve"> was received in an RRCReconfiguration message including reconfigurationWithSync, in an </w:t>
            </w:r>
            <w:proofErr w:type="spellStart"/>
            <w:r w:rsidRPr="00A07E82">
              <w:rPr>
                <w:rFonts w:ascii="Calibri" w:eastAsia="Times New Roman" w:hAnsi="Calibri" w:cs="Calibri"/>
                <w:color w:val="000000"/>
                <w:lang w:eastAsia="zh-CN"/>
              </w:rPr>
              <w:t>RRCResume</w:t>
            </w:r>
            <w:proofErr w:type="spellEnd"/>
            <w:r w:rsidRPr="00A07E82">
              <w:rPr>
                <w:rFonts w:ascii="Calibri" w:eastAsia="Times New Roman" w:hAnsi="Calibri" w:cs="Calibri"/>
                <w:color w:val="000000"/>
                <w:lang w:eastAsia="zh-CN"/>
              </w:rPr>
              <w:t xml:space="preserve"> message or in an E-UTRA </w:t>
            </w:r>
            <w:proofErr w:type="spellStart"/>
            <w:r w:rsidRPr="00A07E82">
              <w:rPr>
                <w:rFonts w:ascii="Calibri" w:eastAsia="Times New Roman" w:hAnsi="Calibri" w:cs="Calibri"/>
                <w:color w:val="000000"/>
                <w:lang w:eastAsia="zh-CN"/>
              </w:rPr>
              <w:t>RRCConnectionResume</w:t>
            </w:r>
            <w:proofErr w:type="spellEnd"/>
            <w:r w:rsidRPr="00A07E82">
              <w:rPr>
                <w:rFonts w:ascii="Calibri" w:eastAsia="Times New Roman" w:hAnsi="Calibri" w:cs="Calibri"/>
                <w:color w:val="000000"/>
                <w:lang w:eastAsia="zh-CN"/>
              </w:rPr>
              <w:t xml:space="preserve"> message.</w:t>
            </w:r>
            <w:r w:rsidRPr="00A07E82">
              <w:rPr>
                <w:rFonts w:ascii="Calibri" w:eastAsia="Times New Roman" w:hAnsi="Calibri" w:cs="Calibri"/>
                <w:color w:val="000000"/>
                <w:lang w:eastAsia="zh-CN"/>
              </w:rPr>
              <w:br/>
            </w:r>
            <w:r w:rsidRPr="00A07E82">
              <w:rPr>
                <w:rFonts w:ascii="Calibri" w:eastAsia="Times New Roman" w:hAnsi="Calibri" w:cs="Calibri"/>
                <w:color w:val="000000"/>
                <w:lang w:eastAsia="zh-CN"/>
              </w:rPr>
              <w:lastRenderedPageBreak/>
              <w:br/>
              <w:t>We have showed that in R2-2005242.</w:t>
            </w:r>
          </w:p>
        </w:tc>
      </w:tr>
      <w:tr w:rsidR="00A07E82" w:rsidRPr="00A07E82" w14:paraId="37B6537C" w14:textId="77777777" w:rsidTr="00A07E82">
        <w:trPr>
          <w:trHeight w:val="2400"/>
        </w:trPr>
        <w:tc>
          <w:tcPr>
            <w:tcW w:w="739" w:type="dxa"/>
            <w:tcBorders>
              <w:top w:val="nil"/>
              <w:left w:val="single" w:sz="4" w:space="0" w:color="auto"/>
              <w:bottom w:val="single" w:sz="4" w:space="0" w:color="auto"/>
              <w:right w:val="single" w:sz="4" w:space="0" w:color="auto"/>
            </w:tcBorders>
            <w:shd w:val="clear" w:color="auto" w:fill="auto"/>
            <w:noWrap/>
            <w:hideMark/>
          </w:tcPr>
          <w:p w14:paraId="625940BC"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lastRenderedPageBreak/>
              <w:t>G104</w:t>
            </w:r>
          </w:p>
        </w:tc>
        <w:tc>
          <w:tcPr>
            <w:tcW w:w="975" w:type="dxa"/>
            <w:tcBorders>
              <w:top w:val="nil"/>
              <w:left w:val="nil"/>
              <w:bottom w:val="single" w:sz="4" w:space="0" w:color="auto"/>
              <w:right w:val="single" w:sz="4" w:space="0" w:color="auto"/>
            </w:tcBorders>
            <w:shd w:val="clear" w:color="auto" w:fill="auto"/>
            <w:noWrap/>
            <w:hideMark/>
          </w:tcPr>
          <w:p w14:paraId="15156708"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MobEnh</w:t>
            </w:r>
          </w:p>
        </w:tc>
        <w:tc>
          <w:tcPr>
            <w:tcW w:w="671" w:type="dxa"/>
            <w:tcBorders>
              <w:top w:val="nil"/>
              <w:left w:val="nil"/>
              <w:bottom w:val="single" w:sz="4" w:space="0" w:color="auto"/>
              <w:right w:val="single" w:sz="4" w:space="0" w:color="auto"/>
            </w:tcBorders>
            <w:shd w:val="clear" w:color="auto" w:fill="auto"/>
            <w:noWrap/>
            <w:hideMark/>
          </w:tcPr>
          <w:p w14:paraId="711E659C"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3</w:t>
            </w:r>
          </w:p>
        </w:tc>
        <w:tc>
          <w:tcPr>
            <w:tcW w:w="1360" w:type="dxa"/>
            <w:tcBorders>
              <w:top w:val="nil"/>
              <w:left w:val="nil"/>
              <w:bottom w:val="single" w:sz="4" w:space="0" w:color="auto"/>
              <w:right w:val="single" w:sz="4" w:space="0" w:color="auto"/>
            </w:tcBorders>
            <w:shd w:val="clear" w:color="auto" w:fill="auto"/>
            <w:noWrap/>
            <w:hideMark/>
          </w:tcPr>
          <w:p w14:paraId="362D0B5B" w14:textId="77777777" w:rsidR="00A07E82" w:rsidRPr="00A07E82" w:rsidRDefault="00A07E82" w:rsidP="00A07E82">
            <w:pPr>
              <w:spacing w:after="0" w:line="240" w:lineRule="auto"/>
              <w:jc w:val="center"/>
              <w:rPr>
                <w:rFonts w:ascii="Calibri" w:eastAsia="Times New Roman" w:hAnsi="Calibri" w:cs="Calibri"/>
                <w:color w:val="000000"/>
                <w:lang w:eastAsia="en-GB"/>
              </w:rPr>
            </w:pPr>
            <w:proofErr w:type="spellStart"/>
            <w:r w:rsidRPr="00A07E82">
              <w:rPr>
                <w:rFonts w:ascii="Calibri" w:eastAsia="Times New Roman" w:hAnsi="Calibri" w:cs="Calibri"/>
                <w:color w:val="000000"/>
                <w:lang w:eastAsia="en-GB"/>
              </w:rPr>
              <w:t>ToDo</w:t>
            </w:r>
            <w:proofErr w:type="spellEnd"/>
          </w:p>
        </w:tc>
        <w:tc>
          <w:tcPr>
            <w:tcW w:w="1197" w:type="dxa"/>
            <w:tcBorders>
              <w:top w:val="nil"/>
              <w:left w:val="nil"/>
              <w:bottom w:val="single" w:sz="4" w:space="0" w:color="auto"/>
              <w:right w:val="single" w:sz="4" w:space="0" w:color="auto"/>
            </w:tcBorders>
            <w:shd w:val="clear" w:color="auto" w:fill="auto"/>
            <w:hideMark/>
          </w:tcPr>
          <w:p w14:paraId="79197B4C"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Google</w:t>
            </w:r>
          </w:p>
        </w:tc>
        <w:tc>
          <w:tcPr>
            <w:tcW w:w="4593" w:type="dxa"/>
            <w:tcBorders>
              <w:top w:val="nil"/>
              <w:left w:val="nil"/>
              <w:bottom w:val="single" w:sz="4" w:space="0" w:color="auto"/>
              <w:right w:val="single" w:sz="4" w:space="0" w:color="auto"/>
            </w:tcBorders>
            <w:shd w:val="clear" w:color="auto" w:fill="auto"/>
            <w:hideMark/>
          </w:tcPr>
          <w:p w14:paraId="619BF942"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t>In our understanding, this is not only an optimization.</w:t>
            </w:r>
            <w:r w:rsidRPr="00A07E82">
              <w:rPr>
                <w:rFonts w:ascii="Calibri" w:eastAsia="Times New Roman" w:hAnsi="Calibri" w:cs="Calibri"/>
                <w:color w:val="000000"/>
                <w:lang w:eastAsia="en-GB"/>
              </w:rPr>
              <w:br/>
              <w:t xml:space="preserve">As mentioned in our contribution R2-2005529, the UE may set wrong </w:t>
            </w:r>
            <w:proofErr w:type="spellStart"/>
            <w:r w:rsidRPr="00A07E82">
              <w:rPr>
                <w:rFonts w:ascii="Calibri" w:eastAsia="Times New Roman" w:hAnsi="Calibri" w:cs="Calibri"/>
                <w:color w:val="000000"/>
                <w:lang w:eastAsia="en-GB"/>
              </w:rPr>
              <w:t>reestablishmentCause</w:t>
            </w:r>
            <w:proofErr w:type="spellEnd"/>
            <w:r w:rsidRPr="00A07E82">
              <w:rPr>
                <w:rFonts w:ascii="Calibri" w:eastAsia="Times New Roman" w:hAnsi="Calibri" w:cs="Calibri"/>
                <w:color w:val="000000"/>
                <w:lang w:eastAsia="en-GB"/>
              </w:rPr>
              <w:t xml:space="preserve"> (i.e., set it to </w:t>
            </w:r>
            <w:proofErr w:type="spellStart"/>
            <w:r w:rsidRPr="00A07E82">
              <w:rPr>
                <w:rFonts w:ascii="Calibri" w:eastAsia="Times New Roman" w:hAnsi="Calibri" w:cs="Calibri"/>
                <w:color w:val="000000"/>
                <w:lang w:eastAsia="en-GB"/>
              </w:rPr>
              <w:t>otherFailure</w:t>
            </w:r>
            <w:proofErr w:type="spellEnd"/>
            <w:r w:rsidRPr="00A07E82">
              <w:rPr>
                <w:rFonts w:ascii="Calibri" w:eastAsia="Times New Roman" w:hAnsi="Calibri" w:cs="Calibri"/>
                <w:color w:val="000000"/>
                <w:lang w:eastAsia="en-GB"/>
              </w:rPr>
              <w:t xml:space="preserve">) after the DAPS handover failure according to current text. </w:t>
            </w:r>
            <w:r w:rsidRPr="00A07E82">
              <w:rPr>
                <w:rFonts w:ascii="Calibri" w:eastAsia="Times New Roman" w:hAnsi="Calibri" w:cs="Calibri"/>
                <w:color w:val="000000"/>
                <w:lang w:eastAsia="en-GB"/>
              </w:rPr>
              <w:br/>
              <w:t>A network may be unable to know there is a handover failure after T304 expires (you can find more detailed discussion in our contribution).</w:t>
            </w:r>
            <w:r w:rsidRPr="00A07E82">
              <w:rPr>
                <w:rFonts w:ascii="Calibri" w:eastAsia="Times New Roman" w:hAnsi="Calibri" w:cs="Calibri"/>
                <w:color w:val="000000"/>
                <w:lang w:eastAsia="en-GB"/>
              </w:rPr>
              <w:br/>
              <w:t>Thus, we think the discussion on this RIL G104 is needed.</w:t>
            </w:r>
          </w:p>
        </w:tc>
      </w:tr>
      <w:tr w:rsidR="00A07E82" w:rsidRPr="00A07E82" w14:paraId="5DC35A06" w14:textId="77777777" w:rsidTr="00A07E82">
        <w:trPr>
          <w:trHeight w:val="3135"/>
        </w:trPr>
        <w:tc>
          <w:tcPr>
            <w:tcW w:w="739" w:type="dxa"/>
            <w:tcBorders>
              <w:top w:val="nil"/>
              <w:left w:val="single" w:sz="4" w:space="0" w:color="auto"/>
              <w:bottom w:val="single" w:sz="4" w:space="0" w:color="auto"/>
              <w:right w:val="single" w:sz="4" w:space="0" w:color="auto"/>
            </w:tcBorders>
            <w:shd w:val="clear" w:color="auto" w:fill="auto"/>
            <w:noWrap/>
            <w:hideMark/>
          </w:tcPr>
          <w:p w14:paraId="68AD9536"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t>J030</w:t>
            </w:r>
          </w:p>
        </w:tc>
        <w:tc>
          <w:tcPr>
            <w:tcW w:w="975" w:type="dxa"/>
            <w:tcBorders>
              <w:top w:val="nil"/>
              <w:left w:val="nil"/>
              <w:bottom w:val="single" w:sz="4" w:space="0" w:color="auto"/>
              <w:right w:val="single" w:sz="4" w:space="0" w:color="auto"/>
            </w:tcBorders>
            <w:shd w:val="clear" w:color="auto" w:fill="auto"/>
            <w:noWrap/>
            <w:hideMark/>
          </w:tcPr>
          <w:p w14:paraId="6642184C"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MobEnh</w:t>
            </w:r>
          </w:p>
        </w:tc>
        <w:tc>
          <w:tcPr>
            <w:tcW w:w="671" w:type="dxa"/>
            <w:tcBorders>
              <w:top w:val="nil"/>
              <w:left w:val="nil"/>
              <w:bottom w:val="single" w:sz="4" w:space="0" w:color="auto"/>
              <w:right w:val="single" w:sz="4" w:space="0" w:color="auto"/>
            </w:tcBorders>
            <w:shd w:val="clear" w:color="auto" w:fill="auto"/>
            <w:noWrap/>
            <w:hideMark/>
          </w:tcPr>
          <w:p w14:paraId="10AB1A17"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3</w:t>
            </w:r>
          </w:p>
        </w:tc>
        <w:tc>
          <w:tcPr>
            <w:tcW w:w="1360" w:type="dxa"/>
            <w:tcBorders>
              <w:top w:val="nil"/>
              <w:left w:val="nil"/>
              <w:bottom w:val="single" w:sz="4" w:space="0" w:color="auto"/>
              <w:right w:val="single" w:sz="4" w:space="0" w:color="auto"/>
            </w:tcBorders>
            <w:shd w:val="clear" w:color="auto" w:fill="auto"/>
            <w:noWrap/>
            <w:hideMark/>
          </w:tcPr>
          <w:p w14:paraId="0F14AF36" w14:textId="77777777" w:rsidR="00A07E82" w:rsidRPr="00A07E82" w:rsidRDefault="00A07E82" w:rsidP="00A07E82">
            <w:pPr>
              <w:spacing w:after="0" w:line="240" w:lineRule="auto"/>
              <w:jc w:val="center"/>
              <w:rPr>
                <w:rFonts w:ascii="Calibri" w:eastAsia="Times New Roman" w:hAnsi="Calibri" w:cs="Calibri"/>
                <w:color w:val="000000"/>
                <w:lang w:eastAsia="en-GB"/>
              </w:rPr>
            </w:pPr>
            <w:proofErr w:type="spellStart"/>
            <w:r w:rsidRPr="00A07E82">
              <w:rPr>
                <w:rFonts w:ascii="Calibri" w:eastAsia="Times New Roman" w:hAnsi="Calibri" w:cs="Calibri"/>
                <w:color w:val="000000"/>
                <w:lang w:eastAsia="en-GB"/>
              </w:rPr>
              <w:t>ToDo</w:t>
            </w:r>
            <w:proofErr w:type="spellEnd"/>
          </w:p>
        </w:tc>
        <w:tc>
          <w:tcPr>
            <w:tcW w:w="1197" w:type="dxa"/>
            <w:tcBorders>
              <w:top w:val="nil"/>
              <w:left w:val="nil"/>
              <w:bottom w:val="single" w:sz="4" w:space="0" w:color="auto"/>
              <w:right w:val="single" w:sz="4" w:space="0" w:color="auto"/>
            </w:tcBorders>
            <w:shd w:val="clear" w:color="auto" w:fill="auto"/>
            <w:hideMark/>
          </w:tcPr>
          <w:p w14:paraId="27926FB4"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Sharp</w:t>
            </w:r>
          </w:p>
        </w:tc>
        <w:tc>
          <w:tcPr>
            <w:tcW w:w="4593" w:type="dxa"/>
            <w:tcBorders>
              <w:top w:val="nil"/>
              <w:left w:val="nil"/>
              <w:bottom w:val="single" w:sz="4" w:space="0" w:color="auto"/>
              <w:right w:val="single" w:sz="4" w:space="0" w:color="auto"/>
            </w:tcBorders>
            <w:shd w:val="clear" w:color="auto" w:fill="auto"/>
            <w:hideMark/>
          </w:tcPr>
          <w:p w14:paraId="37D41200" w14:textId="77777777" w:rsidR="00A07E82" w:rsidRPr="00A07E82" w:rsidRDefault="00A07E82" w:rsidP="00A07E82">
            <w:pPr>
              <w:spacing w:after="0" w:line="240" w:lineRule="auto"/>
              <w:rPr>
                <w:rFonts w:ascii="Calibri" w:eastAsia="Times New Roman" w:hAnsi="Calibri" w:cs="Calibri"/>
                <w:color w:val="000000"/>
                <w:sz w:val="21"/>
                <w:szCs w:val="21"/>
                <w:lang w:eastAsia="en-GB"/>
              </w:rPr>
            </w:pPr>
            <w:r w:rsidRPr="00A07E82">
              <w:rPr>
                <w:rFonts w:ascii="Calibri" w:eastAsia="Times New Roman" w:hAnsi="Calibri" w:cs="Calibri"/>
                <w:color w:val="000000"/>
                <w:sz w:val="21"/>
                <w:szCs w:val="21"/>
                <w:lang w:val="en-US" w:eastAsia="zh-CN"/>
              </w:rPr>
              <w:t xml:space="preserve">A </w:t>
            </w:r>
            <w:proofErr w:type="spellStart"/>
            <w:r w:rsidRPr="00A07E82">
              <w:rPr>
                <w:rFonts w:ascii="Calibri" w:eastAsia="Times New Roman" w:hAnsi="Calibri" w:cs="Calibri"/>
                <w:color w:val="000000"/>
                <w:sz w:val="21"/>
                <w:szCs w:val="21"/>
                <w:lang w:val="en-US" w:eastAsia="zh-CN"/>
              </w:rPr>
              <w:t>tdoc</w:t>
            </w:r>
            <w:proofErr w:type="spellEnd"/>
            <w:r w:rsidRPr="00A07E82">
              <w:rPr>
                <w:rFonts w:ascii="Calibri" w:eastAsia="Times New Roman" w:hAnsi="Calibri" w:cs="Calibri"/>
                <w:color w:val="000000"/>
                <w:sz w:val="21"/>
                <w:szCs w:val="21"/>
                <w:lang w:val="en-US" w:eastAsia="zh-CN"/>
              </w:rPr>
              <w:t xml:space="preserve"> R2-2005430 is submitted to explain this issue. The aim is to revert a UE from a DAPS status to a non-DAPS status in case of RRC reestablishment. For your comment that the node received reestablishment request can handle it, I do not think it is a reliable way, as the reestablishment node cannot always identify whether the UE is in DAPS status or not(e.g. multiple target nodes are prepared in the handover preparation and the reestablishment node is prepared for a non-DAPS handover for this UE ). we also think full configuration should be avoided in this case to not introduce unnecessary interruption. A better way is to revert the UE back to non-DAPS status before or during the RRC reestablishment procedure by UE releasing the source configuration. </w:t>
            </w:r>
            <w:proofErr w:type="gramStart"/>
            <w:r w:rsidRPr="00A07E82">
              <w:rPr>
                <w:rFonts w:ascii="Calibri" w:eastAsia="Times New Roman" w:hAnsi="Calibri" w:cs="Calibri"/>
                <w:color w:val="000000"/>
                <w:sz w:val="21"/>
                <w:szCs w:val="21"/>
                <w:lang w:val="en-US" w:eastAsia="zh-CN"/>
              </w:rPr>
              <w:t>So</w:t>
            </w:r>
            <w:proofErr w:type="gramEnd"/>
            <w:r w:rsidRPr="00A07E82">
              <w:rPr>
                <w:rFonts w:ascii="Calibri" w:eastAsia="Times New Roman" w:hAnsi="Calibri" w:cs="Calibri"/>
                <w:color w:val="000000"/>
                <w:sz w:val="21"/>
                <w:szCs w:val="21"/>
                <w:lang w:val="en-US" w:eastAsia="zh-CN"/>
              </w:rPr>
              <w:t xml:space="preserve"> I think this issue needs further discussion.</w:t>
            </w:r>
          </w:p>
        </w:tc>
      </w:tr>
      <w:tr w:rsidR="00A07E82" w:rsidRPr="00A07E82" w14:paraId="39D6D415" w14:textId="77777777" w:rsidTr="00A07E82">
        <w:trPr>
          <w:trHeight w:val="2565"/>
        </w:trPr>
        <w:tc>
          <w:tcPr>
            <w:tcW w:w="739" w:type="dxa"/>
            <w:tcBorders>
              <w:top w:val="nil"/>
              <w:left w:val="single" w:sz="4" w:space="0" w:color="auto"/>
              <w:bottom w:val="single" w:sz="4" w:space="0" w:color="auto"/>
              <w:right w:val="single" w:sz="4" w:space="0" w:color="auto"/>
            </w:tcBorders>
            <w:shd w:val="clear" w:color="auto" w:fill="auto"/>
            <w:noWrap/>
            <w:hideMark/>
          </w:tcPr>
          <w:p w14:paraId="2A6171B8" w14:textId="77777777" w:rsidR="00A07E82" w:rsidRPr="00A07E82" w:rsidRDefault="00A07E82" w:rsidP="00A07E8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lastRenderedPageBreak/>
              <w:t>J032</w:t>
            </w:r>
          </w:p>
        </w:tc>
        <w:tc>
          <w:tcPr>
            <w:tcW w:w="975" w:type="dxa"/>
            <w:tcBorders>
              <w:top w:val="nil"/>
              <w:left w:val="nil"/>
              <w:bottom w:val="single" w:sz="4" w:space="0" w:color="auto"/>
              <w:right w:val="single" w:sz="4" w:space="0" w:color="auto"/>
            </w:tcBorders>
            <w:shd w:val="clear" w:color="auto" w:fill="auto"/>
            <w:noWrap/>
            <w:hideMark/>
          </w:tcPr>
          <w:p w14:paraId="77547C01"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MobEnh</w:t>
            </w:r>
          </w:p>
        </w:tc>
        <w:tc>
          <w:tcPr>
            <w:tcW w:w="671" w:type="dxa"/>
            <w:tcBorders>
              <w:top w:val="nil"/>
              <w:left w:val="nil"/>
              <w:bottom w:val="single" w:sz="4" w:space="0" w:color="auto"/>
              <w:right w:val="single" w:sz="4" w:space="0" w:color="auto"/>
            </w:tcBorders>
            <w:shd w:val="clear" w:color="auto" w:fill="auto"/>
            <w:noWrap/>
            <w:hideMark/>
          </w:tcPr>
          <w:p w14:paraId="7F261C3C"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3</w:t>
            </w:r>
          </w:p>
        </w:tc>
        <w:tc>
          <w:tcPr>
            <w:tcW w:w="1360" w:type="dxa"/>
            <w:tcBorders>
              <w:top w:val="nil"/>
              <w:left w:val="nil"/>
              <w:bottom w:val="single" w:sz="4" w:space="0" w:color="auto"/>
              <w:right w:val="single" w:sz="4" w:space="0" w:color="auto"/>
            </w:tcBorders>
            <w:shd w:val="clear" w:color="auto" w:fill="auto"/>
            <w:noWrap/>
            <w:hideMark/>
          </w:tcPr>
          <w:p w14:paraId="74161CF5" w14:textId="77777777" w:rsidR="00A07E82" w:rsidRPr="00A07E82" w:rsidRDefault="00A07E82" w:rsidP="00A07E82">
            <w:pPr>
              <w:spacing w:after="0" w:line="240" w:lineRule="auto"/>
              <w:jc w:val="center"/>
              <w:rPr>
                <w:rFonts w:ascii="Calibri" w:eastAsia="Times New Roman" w:hAnsi="Calibri" w:cs="Calibri"/>
                <w:color w:val="000000"/>
                <w:lang w:eastAsia="en-GB"/>
              </w:rPr>
            </w:pPr>
            <w:proofErr w:type="spellStart"/>
            <w:r w:rsidRPr="00A07E82">
              <w:rPr>
                <w:rFonts w:ascii="Calibri" w:eastAsia="Times New Roman" w:hAnsi="Calibri" w:cs="Calibri"/>
                <w:color w:val="000000"/>
                <w:lang w:eastAsia="en-GB"/>
              </w:rPr>
              <w:t>ToDo</w:t>
            </w:r>
            <w:proofErr w:type="spellEnd"/>
          </w:p>
        </w:tc>
        <w:tc>
          <w:tcPr>
            <w:tcW w:w="1197" w:type="dxa"/>
            <w:tcBorders>
              <w:top w:val="nil"/>
              <w:left w:val="nil"/>
              <w:bottom w:val="single" w:sz="4" w:space="0" w:color="auto"/>
              <w:right w:val="single" w:sz="4" w:space="0" w:color="auto"/>
            </w:tcBorders>
            <w:shd w:val="clear" w:color="auto" w:fill="auto"/>
            <w:hideMark/>
          </w:tcPr>
          <w:p w14:paraId="0F61EA41" w14:textId="77777777" w:rsidR="00A07E82" w:rsidRPr="00A07E82" w:rsidRDefault="00A07E82" w:rsidP="00A07E8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Sharp</w:t>
            </w:r>
          </w:p>
        </w:tc>
        <w:tc>
          <w:tcPr>
            <w:tcW w:w="4593" w:type="dxa"/>
            <w:tcBorders>
              <w:top w:val="nil"/>
              <w:left w:val="nil"/>
              <w:bottom w:val="single" w:sz="4" w:space="0" w:color="auto"/>
              <w:right w:val="single" w:sz="4" w:space="0" w:color="auto"/>
            </w:tcBorders>
            <w:shd w:val="clear" w:color="auto" w:fill="auto"/>
            <w:hideMark/>
          </w:tcPr>
          <w:p w14:paraId="3A646DD8" w14:textId="77777777" w:rsidR="00A07E82" w:rsidRPr="00A07E82" w:rsidRDefault="00A07E82" w:rsidP="00A07E82">
            <w:pPr>
              <w:spacing w:after="0" w:line="240" w:lineRule="auto"/>
              <w:rPr>
                <w:rFonts w:ascii="Calibri" w:eastAsia="Times New Roman" w:hAnsi="Calibri" w:cs="Calibri"/>
                <w:color w:val="000000"/>
                <w:sz w:val="21"/>
                <w:szCs w:val="21"/>
                <w:lang w:eastAsia="en-GB"/>
              </w:rPr>
            </w:pPr>
            <w:r w:rsidRPr="00A07E82">
              <w:rPr>
                <w:rFonts w:ascii="Calibri" w:eastAsia="Times New Roman" w:hAnsi="Calibri" w:cs="Calibri"/>
                <w:color w:val="000000"/>
                <w:sz w:val="21"/>
                <w:szCs w:val="21"/>
                <w:lang w:val="en-US" w:eastAsia="zh-CN"/>
              </w:rPr>
              <w:t>this is a clarification. in CHO, the time UE receives the CHO command is not the time UE execute a CHO,  I understand “during the last 1 second preceding reception of the RRCReconfiguration message including reconfigurationWithSync in spCellConfig of an MCG” includes “during the last 1 second preceding reception of a CHO command”, but does not include “during the last 1 second preceding execution of a CHO”.  As UE should always report the latest information to the target node, so this may need to be clarified to include “during the last 1 second preceding execution of a CHO” case.</w:t>
            </w:r>
          </w:p>
        </w:tc>
      </w:tr>
      <w:tr w:rsidR="000923A2" w:rsidRPr="00A07E82" w14:paraId="5A832F9C" w14:textId="77777777" w:rsidTr="00A07E82">
        <w:trPr>
          <w:trHeight w:val="2100"/>
        </w:trPr>
        <w:tc>
          <w:tcPr>
            <w:tcW w:w="739" w:type="dxa"/>
            <w:tcBorders>
              <w:top w:val="nil"/>
              <w:left w:val="single" w:sz="4" w:space="0" w:color="auto"/>
              <w:bottom w:val="single" w:sz="4" w:space="0" w:color="auto"/>
              <w:right w:val="single" w:sz="4" w:space="0" w:color="auto"/>
            </w:tcBorders>
            <w:shd w:val="clear" w:color="auto" w:fill="auto"/>
            <w:noWrap/>
          </w:tcPr>
          <w:p w14:paraId="0E72FC04" w14:textId="1FDE8F9A" w:rsidR="000923A2" w:rsidRPr="00A07E82" w:rsidRDefault="000923A2" w:rsidP="000923A2">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E229</w:t>
            </w:r>
          </w:p>
        </w:tc>
        <w:tc>
          <w:tcPr>
            <w:tcW w:w="975" w:type="dxa"/>
            <w:tcBorders>
              <w:top w:val="nil"/>
              <w:left w:val="nil"/>
              <w:bottom w:val="single" w:sz="4" w:space="0" w:color="auto"/>
              <w:right w:val="single" w:sz="4" w:space="0" w:color="auto"/>
            </w:tcBorders>
            <w:shd w:val="clear" w:color="auto" w:fill="auto"/>
            <w:noWrap/>
          </w:tcPr>
          <w:p w14:paraId="6C3AE67D" w14:textId="7135077D"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hAnsi="Calibri" w:cs="Calibri"/>
                <w:color w:val="000000"/>
              </w:rPr>
              <w:t>URLLC</w:t>
            </w:r>
          </w:p>
        </w:tc>
        <w:tc>
          <w:tcPr>
            <w:tcW w:w="671" w:type="dxa"/>
            <w:tcBorders>
              <w:top w:val="nil"/>
              <w:left w:val="nil"/>
              <w:bottom w:val="single" w:sz="4" w:space="0" w:color="auto"/>
              <w:right w:val="single" w:sz="4" w:space="0" w:color="auto"/>
            </w:tcBorders>
            <w:shd w:val="clear" w:color="auto" w:fill="auto"/>
            <w:noWrap/>
          </w:tcPr>
          <w:p w14:paraId="2AA93CBA" w14:textId="1A6D2CD7"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hAnsi="Calibri" w:cs="Calibri"/>
                <w:color w:val="000000"/>
              </w:rPr>
              <w:t>2</w:t>
            </w:r>
          </w:p>
        </w:tc>
        <w:tc>
          <w:tcPr>
            <w:tcW w:w="1360" w:type="dxa"/>
            <w:tcBorders>
              <w:top w:val="nil"/>
              <w:left w:val="nil"/>
              <w:bottom w:val="single" w:sz="4" w:space="0" w:color="auto"/>
              <w:right w:val="single" w:sz="4" w:space="0" w:color="auto"/>
            </w:tcBorders>
            <w:shd w:val="clear" w:color="auto" w:fill="auto"/>
            <w:noWrap/>
          </w:tcPr>
          <w:p w14:paraId="398B7407" w14:textId="544A7CA0" w:rsidR="000923A2" w:rsidRPr="00A07E82" w:rsidRDefault="000923A2" w:rsidP="000923A2">
            <w:pPr>
              <w:spacing w:after="0" w:line="240" w:lineRule="auto"/>
              <w:jc w:val="center"/>
              <w:rPr>
                <w:rFonts w:ascii="Calibri" w:eastAsia="Times New Roman" w:hAnsi="Calibri" w:cs="Calibri"/>
                <w:color w:val="000000"/>
                <w:lang w:eastAsia="en-GB"/>
              </w:rPr>
            </w:pPr>
            <w:r w:rsidRPr="000923A2">
              <w:rPr>
                <w:rFonts w:ascii="Calibri" w:eastAsia="Times New Roman" w:hAnsi="Calibri" w:cs="Calibri"/>
                <w:color w:val="000000"/>
                <w:lang w:eastAsia="en-GB"/>
              </w:rPr>
              <w:t>PropAgree2</w:t>
            </w:r>
          </w:p>
        </w:tc>
        <w:tc>
          <w:tcPr>
            <w:tcW w:w="1197" w:type="dxa"/>
            <w:tcBorders>
              <w:top w:val="nil"/>
              <w:left w:val="nil"/>
              <w:bottom w:val="single" w:sz="4" w:space="0" w:color="auto"/>
              <w:right w:val="single" w:sz="4" w:space="0" w:color="auto"/>
            </w:tcBorders>
            <w:shd w:val="clear" w:color="auto" w:fill="auto"/>
          </w:tcPr>
          <w:p w14:paraId="35EEFCD2" w14:textId="1DBBF2E9"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Huawei</w:t>
            </w:r>
          </w:p>
        </w:tc>
        <w:tc>
          <w:tcPr>
            <w:tcW w:w="4593" w:type="dxa"/>
            <w:tcBorders>
              <w:top w:val="nil"/>
              <w:left w:val="nil"/>
              <w:bottom w:val="single" w:sz="4" w:space="0" w:color="auto"/>
              <w:right w:val="single" w:sz="4" w:space="0" w:color="auto"/>
            </w:tcBorders>
            <w:shd w:val="clear" w:color="auto" w:fill="auto"/>
          </w:tcPr>
          <w:p w14:paraId="55B06687" w14:textId="77777777" w:rsidR="000923A2" w:rsidRDefault="000923A2" w:rsidP="000923A2">
            <w:r>
              <w:t>There are 65 parameters scattered across several IEs with the suffix "ForDCI-Format1-2" and this suffix is the only way to find them all.</w:t>
            </w:r>
          </w:p>
          <w:p w14:paraId="2C65DAAF" w14:textId="6B5A22CE" w:rsidR="000923A2" w:rsidRPr="000923A2" w:rsidRDefault="000923A2" w:rsidP="000923A2">
            <w:r>
              <w:t>Therefore, we think it is not a good idea to change this suffix just for one out of 65 parameters.</w:t>
            </w:r>
          </w:p>
        </w:tc>
      </w:tr>
      <w:tr w:rsidR="000923A2" w:rsidRPr="00A07E82" w14:paraId="7868914E" w14:textId="77777777" w:rsidTr="00A07E82">
        <w:trPr>
          <w:trHeight w:val="2100"/>
        </w:trPr>
        <w:tc>
          <w:tcPr>
            <w:tcW w:w="739" w:type="dxa"/>
            <w:tcBorders>
              <w:top w:val="nil"/>
              <w:left w:val="single" w:sz="4" w:space="0" w:color="auto"/>
              <w:bottom w:val="single" w:sz="4" w:space="0" w:color="auto"/>
              <w:right w:val="single" w:sz="4" w:space="0" w:color="auto"/>
            </w:tcBorders>
            <w:shd w:val="clear" w:color="auto" w:fill="auto"/>
            <w:noWrap/>
            <w:hideMark/>
          </w:tcPr>
          <w:p w14:paraId="0192F097" w14:textId="77777777" w:rsidR="000923A2" w:rsidRPr="00A07E82" w:rsidRDefault="000923A2" w:rsidP="000923A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t>Q022</w:t>
            </w:r>
          </w:p>
        </w:tc>
        <w:tc>
          <w:tcPr>
            <w:tcW w:w="975" w:type="dxa"/>
            <w:tcBorders>
              <w:top w:val="nil"/>
              <w:left w:val="nil"/>
              <w:bottom w:val="single" w:sz="4" w:space="0" w:color="auto"/>
              <w:right w:val="single" w:sz="4" w:space="0" w:color="auto"/>
            </w:tcBorders>
            <w:shd w:val="clear" w:color="auto" w:fill="auto"/>
            <w:noWrap/>
            <w:hideMark/>
          </w:tcPr>
          <w:p w14:paraId="7D2484DA" w14:textId="77777777" w:rsidR="000923A2" w:rsidRPr="00A07E82" w:rsidRDefault="000923A2" w:rsidP="000923A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MIMO</w:t>
            </w:r>
          </w:p>
        </w:tc>
        <w:tc>
          <w:tcPr>
            <w:tcW w:w="671" w:type="dxa"/>
            <w:tcBorders>
              <w:top w:val="nil"/>
              <w:left w:val="nil"/>
              <w:bottom w:val="single" w:sz="4" w:space="0" w:color="auto"/>
              <w:right w:val="single" w:sz="4" w:space="0" w:color="auto"/>
            </w:tcBorders>
            <w:shd w:val="clear" w:color="auto" w:fill="auto"/>
            <w:noWrap/>
            <w:hideMark/>
          </w:tcPr>
          <w:p w14:paraId="7D09A1A5" w14:textId="77777777" w:rsidR="000923A2" w:rsidRPr="00A07E82" w:rsidRDefault="000923A2" w:rsidP="000923A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2</w:t>
            </w:r>
          </w:p>
        </w:tc>
        <w:tc>
          <w:tcPr>
            <w:tcW w:w="1360" w:type="dxa"/>
            <w:tcBorders>
              <w:top w:val="nil"/>
              <w:left w:val="nil"/>
              <w:bottom w:val="single" w:sz="4" w:space="0" w:color="auto"/>
              <w:right w:val="single" w:sz="4" w:space="0" w:color="auto"/>
            </w:tcBorders>
            <w:shd w:val="clear" w:color="auto" w:fill="auto"/>
            <w:noWrap/>
            <w:hideMark/>
          </w:tcPr>
          <w:p w14:paraId="758B2575" w14:textId="77777777" w:rsidR="000923A2" w:rsidRPr="00A07E82" w:rsidRDefault="000923A2" w:rsidP="000923A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PropReject2</w:t>
            </w:r>
          </w:p>
        </w:tc>
        <w:tc>
          <w:tcPr>
            <w:tcW w:w="1197" w:type="dxa"/>
            <w:tcBorders>
              <w:top w:val="nil"/>
              <w:left w:val="nil"/>
              <w:bottom w:val="single" w:sz="4" w:space="0" w:color="auto"/>
              <w:right w:val="single" w:sz="4" w:space="0" w:color="auto"/>
            </w:tcBorders>
            <w:shd w:val="clear" w:color="auto" w:fill="auto"/>
            <w:hideMark/>
          </w:tcPr>
          <w:p w14:paraId="7628F6B5" w14:textId="77777777" w:rsidR="000923A2" w:rsidRPr="00A07E82" w:rsidRDefault="000923A2" w:rsidP="000923A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Qualcomm</w:t>
            </w:r>
          </w:p>
        </w:tc>
        <w:tc>
          <w:tcPr>
            <w:tcW w:w="4593" w:type="dxa"/>
            <w:tcBorders>
              <w:top w:val="nil"/>
              <w:left w:val="nil"/>
              <w:bottom w:val="single" w:sz="4" w:space="0" w:color="auto"/>
              <w:right w:val="single" w:sz="4" w:space="0" w:color="auto"/>
            </w:tcBorders>
            <w:shd w:val="clear" w:color="auto" w:fill="auto"/>
            <w:hideMark/>
          </w:tcPr>
          <w:p w14:paraId="1C8D6BAD" w14:textId="77777777" w:rsidR="000923A2" w:rsidRPr="00A07E82" w:rsidRDefault="000923A2" w:rsidP="000923A2">
            <w:pPr>
              <w:spacing w:after="0" w:line="240" w:lineRule="auto"/>
              <w:rPr>
                <w:rFonts w:ascii="Calibri" w:eastAsia="Times New Roman" w:hAnsi="Calibri" w:cs="Calibri"/>
                <w:color w:val="000000"/>
                <w:lang w:eastAsia="en-GB"/>
              </w:rPr>
            </w:pPr>
            <w:r w:rsidRPr="00A07E82">
              <w:rPr>
                <w:rFonts w:ascii="Calibri" w:eastAsia="Times New Roman" w:hAnsi="Calibri" w:cs="Calibri"/>
                <w:color w:val="000000"/>
                <w:lang w:eastAsia="en-GB"/>
              </w:rPr>
              <w:t>We do not think that ‘RAN2 agreed to not change asn.</w:t>
            </w:r>
            <w:proofErr w:type="gramStart"/>
            <w:r w:rsidRPr="00A07E82">
              <w:rPr>
                <w:rFonts w:ascii="Calibri" w:eastAsia="Times New Roman" w:hAnsi="Calibri" w:cs="Calibri"/>
                <w:color w:val="000000"/>
                <w:lang w:eastAsia="en-GB"/>
              </w:rPr>
              <w:t>1, but</w:t>
            </w:r>
            <w:proofErr w:type="gramEnd"/>
            <w:r w:rsidRPr="00A07E82">
              <w:rPr>
                <w:rFonts w:ascii="Calibri" w:eastAsia="Times New Roman" w:hAnsi="Calibri" w:cs="Calibri"/>
                <w:color w:val="000000"/>
                <w:lang w:eastAsia="en-GB"/>
              </w:rPr>
              <w:t xml:space="preserve"> add IE description text above’ as commented by the rapporteur. The issue was discussed in RAN2 #109e and conclusion was to send </w:t>
            </w:r>
            <w:proofErr w:type="gramStart"/>
            <w:r w:rsidRPr="00A07E82">
              <w:rPr>
                <w:rFonts w:ascii="Calibri" w:eastAsia="Times New Roman" w:hAnsi="Calibri" w:cs="Calibri"/>
                <w:color w:val="000000"/>
                <w:lang w:eastAsia="en-GB"/>
              </w:rPr>
              <w:t>an</w:t>
            </w:r>
            <w:proofErr w:type="gramEnd"/>
            <w:r w:rsidRPr="00A07E82">
              <w:rPr>
                <w:rFonts w:ascii="Calibri" w:eastAsia="Times New Roman" w:hAnsi="Calibri" w:cs="Calibri"/>
                <w:color w:val="000000"/>
                <w:lang w:eastAsia="en-GB"/>
              </w:rPr>
              <w:t xml:space="preserve"> LS to RAN1 for clarification. Now that RAN1 reply LS clearly states that schemes 2a/2b/3 and scheme 4 are mutually exclusive, we’d suggest RAN2 to capture RAN1’s understanding by using ‘CHOICE’ instead of ‘SEQUENCE’.</w:t>
            </w:r>
          </w:p>
        </w:tc>
      </w:tr>
      <w:tr w:rsidR="000923A2" w:rsidRPr="00A07E82" w14:paraId="73B08D04" w14:textId="77777777" w:rsidTr="00A07E82">
        <w:trPr>
          <w:trHeight w:val="2100"/>
        </w:trPr>
        <w:tc>
          <w:tcPr>
            <w:tcW w:w="739" w:type="dxa"/>
            <w:tcBorders>
              <w:top w:val="single" w:sz="4" w:space="0" w:color="auto"/>
              <w:left w:val="single" w:sz="4" w:space="0" w:color="auto"/>
              <w:bottom w:val="single" w:sz="4" w:space="0" w:color="auto"/>
              <w:right w:val="single" w:sz="4" w:space="0" w:color="auto"/>
            </w:tcBorders>
            <w:shd w:val="clear" w:color="auto" w:fill="auto"/>
            <w:noWrap/>
          </w:tcPr>
          <w:p w14:paraId="38A3E1AD" w14:textId="4D14EE0F" w:rsidR="000923A2" w:rsidRPr="00A07E82" w:rsidRDefault="000923A2" w:rsidP="000923A2">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S117</w:t>
            </w:r>
          </w:p>
        </w:tc>
        <w:tc>
          <w:tcPr>
            <w:tcW w:w="975" w:type="dxa"/>
            <w:tcBorders>
              <w:top w:val="single" w:sz="4" w:space="0" w:color="auto"/>
              <w:left w:val="nil"/>
              <w:bottom w:val="single" w:sz="4" w:space="0" w:color="auto"/>
              <w:right w:val="single" w:sz="4" w:space="0" w:color="auto"/>
            </w:tcBorders>
            <w:shd w:val="clear" w:color="auto" w:fill="auto"/>
            <w:noWrap/>
          </w:tcPr>
          <w:p w14:paraId="02157E5F" w14:textId="01C11217"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V2X</w:t>
            </w:r>
          </w:p>
        </w:tc>
        <w:tc>
          <w:tcPr>
            <w:tcW w:w="671" w:type="dxa"/>
            <w:tcBorders>
              <w:top w:val="single" w:sz="4" w:space="0" w:color="auto"/>
              <w:left w:val="nil"/>
              <w:bottom w:val="single" w:sz="4" w:space="0" w:color="auto"/>
              <w:right w:val="single" w:sz="4" w:space="0" w:color="auto"/>
            </w:tcBorders>
            <w:shd w:val="clear" w:color="auto" w:fill="auto"/>
            <w:noWrap/>
          </w:tcPr>
          <w:p w14:paraId="0D9DB1CB" w14:textId="66DF9AA0"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2</w:t>
            </w:r>
          </w:p>
        </w:tc>
        <w:tc>
          <w:tcPr>
            <w:tcW w:w="1360" w:type="dxa"/>
            <w:tcBorders>
              <w:top w:val="single" w:sz="4" w:space="0" w:color="auto"/>
              <w:left w:val="nil"/>
              <w:bottom w:val="single" w:sz="4" w:space="0" w:color="auto"/>
              <w:right w:val="single" w:sz="4" w:space="0" w:color="auto"/>
            </w:tcBorders>
            <w:shd w:val="clear" w:color="auto" w:fill="auto"/>
            <w:noWrap/>
          </w:tcPr>
          <w:p w14:paraId="75BA83D3" w14:textId="7AF507D8" w:rsidR="000923A2" w:rsidRPr="00A07E82" w:rsidRDefault="000923A2" w:rsidP="000923A2">
            <w:pPr>
              <w:spacing w:after="0" w:line="240" w:lineRule="auto"/>
              <w:jc w:val="center"/>
              <w:rPr>
                <w:rFonts w:ascii="Calibri" w:eastAsia="Times New Roman" w:hAnsi="Calibri" w:cs="Calibri"/>
                <w:color w:val="000000"/>
                <w:lang w:eastAsia="en-GB"/>
              </w:rPr>
            </w:pPr>
            <w:proofErr w:type="spellStart"/>
            <w:r w:rsidRPr="00A07E82">
              <w:rPr>
                <w:rFonts w:ascii="Calibri" w:eastAsia="Times New Roman" w:hAnsi="Calibri" w:cs="Calibri"/>
                <w:color w:val="000000"/>
                <w:lang w:eastAsia="en-GB"/>
              </w:rPr>
              <w:t>PropAgree</w:t>
            </w:r>
            <w:proofErr w:type="spellEnd"/>
          </w:p>
        </w:tc>
        <w:tc>
          <w:tcPr>
            <w:tcW w:w="1197" w:type="dxa"/>
            <w:tcBorders>
              <w:top w:val="single" w:sz="4" w:space="0" w:color="auto"/>
              <w:left w:val="nil"/>
              <w:bottom w:val="single" w:sz="4" w:space="0" w:color="auto"/>
              <w:right w:val="single" w:sz="4" w:space="0" w:color="auto"/>
            </w:tcBorders>
            <w:shd w:val="clear" w:color="auto" w:fill="auto"/>
          </w:tcPr>
          <w:p w14:paraId="0F6026A6" w14:textId="0871AA8D"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Huawei</w:t>
            </w:r>
          </w:p>
        </w:tc>
        <w:tc>
          <w:tcPr>
            <w:tcW w:w="4593" w:type="dxa"/>
            <w:tcBorders>
              <w:top w:val="single" w:sz="4" w:space="0" w:color="auto"/>
              <w:left w:val="nil"/>
              <w:bottom w:val="single" w:sz="4" w:space="0" w:color="auto"/>
              <w:right w:val="single" w:sz="4" w:space="0" w:color="auto"/>
            </w:tcBorders>
            <w:shd w:val="clear" w:color="auto" w:fill="auto"/>
          </w:tcPr>
          <w:p w14:paraId="414DD4AB" w14:textId="77777777" w:rsidR="000923A2" w:rsidRDefault="000923A2" w:rsidP="000923A2">
            <w:pPr>
              <w:rPr>
                <w:sz w:val="21"/>
                <w:szCs w:val="21"/>
                <w:lang w:eastAsia="zh-CN"/>
              </w:rPr>
            </w:pPr>
            <w:r>
              <w:rPr>
                <w:sz w:val="21"/>
                <w:szCs w:val="21"/>
                <w:lang w:eastAsia="zh-CN"/>
              </w:rPr>
              <w:t>Those two are under V2X WI specific discussion, based on the companies’ feedback we may have different concussion or some wording adjustment. It is better to postpone those two and update the status after the conclusion in WI session.</w:t>
            </w:r>
          </w:p>
          <w:p w14:paraId="76B75E7B" w14:textId="77777777" w:rsidR="000923A2" w:rsidRPr="00A07E82" w:rsidRDefault="000923A2" w:rsidP="000923A2">
            <w:pPr>
              <w:spacing w:after="0" w:line="240" w:lineRule="auto"/>
              <w:rPr>
                <w:rFonts w:ascii="Calibri" w:eastAsia="Times New Roman" w:hAnsi="Calibri" w:cs="Calibri"/>
                <w:color w:val="000000"/>
                <w:lang w:eastAsia="en-GB"/>
              </w:rPr>
            </w:pPr>
          </w:p>
        </w:tc>
      </w:tr>
      <w:tr w:rsidR="000923A2" w:rsidRPr="00A07E82" w14:paraId="77CBD769" w14:textId="77777777" w:rsidTr="00A07E82">
        <w:trPr>
          <w:trHeight w:val="2100"/>
        </w:trPr>
        <w:tc>
          <w:tcPr>
            <w:tcW w:w="739" w:type="dxa"/>
            <w:tcBorders>
              <w:top w:val="single" w:sz="4" w:space="0" w:color="auto"/>
              <w:left w:val="single" w:sz="4" w:space="0" w:color="auto"/>
              <w:bottom w:val="single" w:sz="4" w:space="0" w:color="auto"/>
              <w:right w:val="single" w:sz="4" w:space="0" w:color="auto"/>
            </w:tcBorders>
            <w:shd w:val="clear" w:color="auto" w:fill="auto"/>
            <w:noWrap/>
          </w:tcPr>
          <w:p w14:paraId="57026580" w14:textId="5FB77D47" w:rsidR="000923A2" w:rsidRPr="00A07E82" w:rsidRDefault="000923A2" w:rsidP="000923A2">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M112</w:t>
            </w:r>
          </w:p>
        </w:tc>
        <w:tc>
          <w:tcPr>
            <w:tcW w:w="975" w:type="dxa"/>
            <w:tcBorders>
              <w:top w:val="single" w:sz="4" w:space="0" w:color="auto"/>
              <w:left w:val="nil"/>
              <w:bottom w:val="single" w:sz="4" w:space="0" w:color="auto"/>
              <w:right w:val="single" w:sz="4" w:space="0" w:color="auto"/>
            </w:tcBorders>
            <w:shd w:val="clear" w:color="auto" w:fill="auto"/>
            <w:noWrap/>
          </w:tcPr>
          <w:p w14:paraId="11FCB572" w14:textId="3894B8F4"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V2X</w:t>
            </w:r>
          </w:p>
        </w:tc>
        <w:tc>
          <w:tcPr>
            <w:tcW w:w="671" w:type="dxa"/>
            <w:tcBorders>
              <w:top w:val="single" w:sz="4" w:space="0" w:color="auto"/>
              <w:left w:val="nil"/>
              <w:bottom w:val="single" w:sz="4" w:space="0" w:color="auto"/>
              <w:right w:val="single" w:sz="4" w:space="0" w:color="auto"/>
            </w:tcBorders>
            <w:shd w:val="clear" w:color="auto" w:fill="auto"/>
            <w:noWrap/>
          </w:tcPr>
          <w:p w14:paraId="26C99701" w14:textId="21CEA632" w:rsidR="000923A2" w:rsidRPr="00A07E82" w:rsidRDefault="000923A2" w:rsidP="000923A2">
            <w:pPr>
              <w:rPr>
                <w:rFonts w:ascii="Calibri" w:eastAsia="Times New Roman" w:hAnsi="Calibri" w:cs="Calibri"/>
                <w:lang w:eastAsia="en-GB"/>
              </w:rPr>
            </w:pPr>
            <w:r>
              <w:rPr>
                <w:rFonts w:ascii="Calibri" w:eastAsia="Times New Roman" w:hAnsi="Calibri" w:cs="Calibri"/>
                <w:color w:val="000000"/>
                <w:lang w:eastAsia="en-GB"/>
              </w:rPr>
              <w:t>2</w:t>
            </w:r>
          </w:p>
        </w:tc>
        <w:tc>
          <w:tcPr>
            <w:tcW w:w="1360" w:type="dxa"/>
            <w:tcBorders>
              <w:top w:val="single" w:sz="4" w:space="0" w:color="auto"/>
              <w:left w:val="nil"/>
              <w:bottom w:val="single" w:sz="4" w:space="0" w:color="auto"/>
              <w:right w:val="single" w:sz="4" w:space="0" w:color="auto"/>
            </w:tcBorders>
            <w:shd w:val="clear" w:color="auto" w:fill="auto"/>
            <w:noWrap/>
          </w:tcPr>
          <w:p w14:paraId="1EB2CADF" w14:textId="6821F624" w:rsidR="000923A2" w:rsidRPr="00A07E82" w:rsidRDefault="000923A2" w:rsidP="000923A2">
            <w:pPr>
              <w:spacing w:after="0" w:line="240" w:lineRule="auto"/>
              <w:jc w:val="center"/>
              <w:rPr>
                <w:rFonts w:ascii="Calibri" w:eastAsia="Times New Roman" w:hAnsi="Calibri" w:cs="Calibri"/>
                <w:color w:val="000000"/>
                <w:lang w:eastAsia="en-GB"/>
              </w:rPr>
            </w:pPr>
            <w:r w:rsidRPr="00A07E82">
              <w:rPr>
                <w:rFonts w:ascii="Calibri" w:eastAsia="Times New Roman" w:hAnsi="Calibri" w:cs="Calibri"/>
                <w:color w:val="000000"/>
                <w:lang w:eastAsia="en-GB"/>
              </w:rPr>
              <w:t>PropAgree2</w:t>
            </w:r>
          </w:p>
        </w:tc>
        <w:tc>
          <w:tcPr>
            <w:tcW w:w="1197" w:type="dxa"/>
            <w:tcBorders>
              <w:top w:val="single" w:sz="4" w:space="0" w:color="auto"/>
              <w:left w:val="nil"/>
              <w:bottom w:val="single" w:sz="4" w:space="0" w:color="auto"/>
              <w:right w:val="single" w:sz="4" w:space="0" w:color="auto"/>
            </w:tcBorders>
            <w:shd w:val="clear" w:color="auto" w:fill="auto"/>
          </w:tcPr>
          <w:p w14:paraId="4C1D87C1" w14:textId="2374F952" w:rsidR="000923A2" w:rsidRPr="00A07E82" w:rsidRDefault="000923A2" w:rsidP="000923A2">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Huawei</w:t>
            </w:r>
          </w:p>
        </w:tc>
        <w:tc>
          <w:tcPr>
            <w:tcW w:w="4593" w:type="dxa"/>
            <w:tcBorders>
              <w:top w:val="single" w:sz="4" w:space="0" w:color="auto"/>
              <w:left w:val="nil"/>
              <w:bottom w:val="single" w:sz="4" w:space="0" w:color="auto"/>
              <w:right w:val="single" w:sz="4" w:space="0" w:color="auto"/>
            </w:tcBorders>
            <w:shd w:val="clear" w:color="auto" w:fill="auto"/>
          </w:tcPr>
          <w:p w14:paraId="4B9CB116" w14:textId="77777777" w:rsidR="000923A2" w:rsidRDefault="000923A2" w:rsidP="000923A2">
            <w:pPr>
              <w:rPr>
                <w:sz w:val="21"/>
                <w:szCs w:val="21"/>
                <w:lang w:eastAsia="zh-CN"/>
              </w:rPr>
            </w:pPr>
            <w:r>
              <w:rPr>
                <w:sz w:val="21"/>
                <w:szCs w:val="21"/>
                <w:lang w:eastAsia="zh-CN"/>
              </w:rPr>
              <w:t>Those two are under V2X WI specific discussion, based on the companies’ feedback we may have different concussion or some wording adjustment. It is better to postpone those two and update the status after the conclusion in WI session.</w:t>
            </w:r>
          </w:p>
          <w:p w14:paraId="23EDE08A" w14:textId="77777777" w:rsidR="000923A2" w:rsidRPr="00A07E82" w:rsidRDefault="000923A2" w:rsidP="000923A2">
            <w:pPr>
              <w:spacing w:after="0" w:line="240" w:lineRule="auto"/>
              <w:rPr>
                <w:rFonts w:ascii="Calibri" w:eastAsia="Times New Roman" w:hAnsi="Calibri" w:cs="Calibri"/>
                <w:color w:val="000000"/>
                <w:lang w:eastAsia="en-GB"/>
              </w:rPr>
            </w:pPr>
          </w:p>
        </w:tc>
      </w:tr>
    </w:tbl>
    <w:p w14:paraId="5AD0E2F0" w14:textId="77777777" w:rsidR="00A07E82" w:rsidRPr="00A07E82" w:rsidRDefault="00A07E82" w:rsidP="00A07E82"/>
    <w:sectPr w:rsidR="00A07E82" w:rsidRPr="00A07E82" w:rsidSect="002C6D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E82"/>
    <w:rsid w:val="00045ACE"/>
    <w:rsid w:val="000923A2"/>
    <w:rsid w:val="002C6DDB"/>
    <w:rsid w:val="00660D3C"/>
    <w:rsid w:val="00762EF4"/>
    <w:rsid w:val="00A07E82"/>
    <w:rsid w:val="00D0521C"/>
    <w:rsid w:val="00FE365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0F127"/>
  <w15:chartTrackingRefBased/>
  <w15:docId w15:val="{BA78588E-BA2E-45E0-B06D-89BF49BA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3A2"/>
    <w:rPr>
      <w:rFonts w:ascii="Segoe UI" w:hAnsi="Segoe UI" w:cs="Segoe UI"/>
      <w:sz w:val="18"/>
      <w:szCs w:val="18"/>
    </w:rPr>
  </w:style>
  <w:style w:type="paragraph" w:styleId="Footer">
    <w:name w:val="footer"/>
    <w:basedOn w:val="Header"/>
    <w:link w:val="FooterChar"/>
    <w:rsid w:val="002C6DDB"/>
    <w:pPr>
      <w:widowControl w:val="0"/>
      <w:tabs>
        <w:tab w:val="clear" w:pos="4513"/>
        <w:tab w:val="clear" w:pos="9026"/>
      </w:tabs>
      <w:jc w:val="center"/>
    </w:pPr>
    <w:rPr>
      <w:rFonts w:ascii="Arial" w:eastAsia="MS Mincho" w:hAnsi="Arial" w:cs="Times New Roman"/>
      <w:b/>
      <w:i/>
      <w:noProof/>
      <w:sz w:val="18"/>
      <w:szCs w:val="20"/>
    </w:rPr>
  </w:style>
  <w:style w:type="character" w:customStyle="1" w:styleId="FooterChar">
    <w:name w:val="Footer Char"/>
    <w:basedOn w:val="DefaultParagraphFont"/>
    <w:link w:val="Footer"/>
    <w:rsid w:val="002C6DDB"/>
    <w:rPr>
      <w:rFonts w:ascii="Arial" w:eastAsia="MS Mincho" w:hAnsi="Arial" w:cs="Times New Roman"/>
      <w:b/>
      <w:i/>
      <w:noProof/>
      <w:sz w:val="18"/>
      <w:szCs w:val="20"/>
    </w:rPr>
  </w:style>
  <w:style w:type="paragraph" w:customStyle="1" w:styleId="CRCoverPage">
    <w:name w:val="CR Cover Page"/>
    <w:link w:val="CRCoverPageZchn"/>
    <w:rsid w:val="002C6DD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2C6DDB"/>
    <w:rPr>
      <w:rFonts w:ascii="Arial" w:eastAsia="MS Mincho" w:hAnsi="Arial" w:cs="Times New Roman"/>
      <w:sz w:val="20"/>
      <w:szCs w:val="20"/>
    </w:rPr>
  </w:style>
  <w:style w:type="paragraph" w:styleId="Header">
    <w:name w:val="header"/>
    <w:basedOn w:val="Normal"/>
    <w:link w:val="HeaderChar"/>
    <w:uiPriority w:val="99"/>
    <w:semiHidden/>
    <w:unhideWhenUsed/>
    <w:rsid w:val="002C6D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C6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6550">
      <w:bodyDiv w:val="1"/>
      <w:marLeft w:val="0"/>
      <w:marRight w:val="0"/>
      <w:marTop w:val="0"/>
      <w:marBottom w:val="0"/>
      <w:divBdr>
        <w:top w:val="none" w:sz="0" w:space="0" w:color="auto"/>
        <w:left w:val="none" w:sz="0" w:space="0" w:color="auto"/>
        <w:bottom w:val="none" w:sz="0" w:space="0" w:color="auto"/>
        <w:right w:val="none" w:sz="0" w:space="0" w:color="auto"/>
      </w:divBdr>
    </w:div>
    <w:div w:id="1132480943">
      <w:bodyDiv w:val="1"/>
      <w:marLeft w:val="0"/>
      <w:marRight w:val="0"/>
      <w:marTop w:val="0"/>
      <w:marBottom w:val="0"/>
      <w:divBdr>
        <w:top w:val="none" w:sz="0" w:space="0" w:color="auto"/>
        <w:left w:val="none" w:sz="0" w:space="0" w:color="auto"/>
        <w:bottom w:val="none" w:sz="0" w:space="0" w:color="auto"/>
        <w:right w:val="none" w:sz="0" w:space="0" w:color="auto"/>
      </w:divBdr>
    </w:div>
    <w:div w:id="1307197914">
      <w:bodyDiv w:val="1"/>
      <w:marLeft w:val="0"/>
      <w:marRight w:val="0"/>
      <w:marTop w:val="0"/>
      <w:marBottom w:val="0"/>
      <w:divBdr>
        <w:top w:val="none" w:sz="0" w:space="0" w:color="auto"/>
        <w:left w:val="none" w:sz="0" w:space="0" w:color="auto"/>
        <w:bottom w:val="none" w:sz="0" w:space="0" w:color="auto"/>
        <w:right w:val="none" w:sz="0" w:space="0" w:color="auto"/>
      </w:divBdr>
    </w:div>
    <w:div w:id="1619944564">
      <w:bodyDiv w:val="1"/>
      <w:marLeft w:val="0"/>
      <w:marRight w:val="0"/>
      <w:marTop w:val="0"/>
      <w:marBottom w:val="0"/>
      <w:divBdr>
        <w:top w:val="none" w:sz="0" w:space="0" w:color="auto"/>
        <w:left w:val="none" w:sz="0" w:space="0" w:color="auto"/>
        <w:bottom w:val="none" w:sz="0" w:space="0" w:color="auto"/>
        <w:right w:val="none" w:sz="0" w:space="0" w:color="auto"/>
      </w:divBdr>
    </w:div>
    <w:div w:id="1726105946">
      <w:bodyDiv w:val="1"/>
      <w:marLeft w:val="0"/>
      <w:marRight w:val="0"/>
      <w:marTop w:val="0"/>
      <w:marBottom w:val="0"/>
      <w:divBdr>
        <w:top w:val="none" w:sz="0" w:space="0" w:color="auto"/>
        <w:left w:val="none" w:sz="0" w:space="0" w:color="auto"/>
        <w:bottom w:val="none" w:sz="0" w:space="0" w:color="auto"/>
        <w:right w:val="none" w:sz="0" w:space="0" w:color="auto"/>
      </w:divBdr>
    </w:div>
    <w:div w:id="1985355135">
      <w:bodyDiv w:val="1"/>
      <w:marLeft w:val="0"/>
      <w:marRight w:val="0"/>
      <w:marTop w:val="0"/>
      <w:marBottom w:val="0"/>
      <w:divBdr>
        <w:top w:val="none" w:sz="0" w:space="0" w:color="auto"/>
        <w:left w:val="none" w:sz="0" w:space="0" w:color="auto"/>
        <w:bottom w:val="none" w:sz="0" w:space="0" w:color="auto"/>
        <w:right w:val="none" w:sz="0" w:space="0" w:color="auto"/>
      </w:divBdr>
    </w:div>
    <w:div w:id="214315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(Rapporteur)</dc:creator>
  <cp:keywords/>
  <dc:description/>
  <cp:lastModifiedBy>Ericsson (Rapporteur)</cp:lastModifiedBy>
  <cp:revision>2</cp:revision>
  <dcterms:created xsi:type="dcterms:W3CDTF">2020-06-01T08:58:00Z</dcterms:created>
  <dcterms:modified xsi:type="dcterms:W3CDTF">2020-06-01T08:58:00Z</dcterms:modified>
</cp:coreProperties>
</file>